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699B" w:rsidRPr="0084699B" w:rsidRDefault="0084699B">
      <w:pPr>
        <w:rPr>
          <w:b/>
        </w:rPr>
      </w:pPr>
      <w:bookmarkStart w:id="0" w:name="_GoBack"/>
      <w:bookmarkEnd w:id="0"/>
      <w:r w:rsidRPr="0084699B">
        <w:rPr>
          <w:b/>
        </w:rPr>
        <w:t>Example</w:t>
      </w:r>
    </w:p>
    <w:p w:rsidR="000D01BD" w:rsidRDefault="00FA3C1F">
      <w:hyperlink r:id="rId5" w:history="1">
        <w:r w:rsidR="000E5825" w:rsidRPr="00A34C95">
          <w:rPr>
            <w:rStyle w:val="a3"/>
          </w:rPr>
          <w:t>https://www.sciencedirect.com/science/article/pii/S1526820917307772</w:t>
        </w:r>
      </w:hyperlink>
      <w:r w:rsidR="000E5825">
        <w:t xml:space="preserve"> (</w:t>
      </w:r>
      <w:r w:rsidR="000E5825" w:rsidRPr="000E5825">
        <w:rPr>
          <w:u w:val="single"/>
        </w:rPr>
        <w:t xml:space="preserve">Bone Metastasis in Advanced Breast Cancer: Analysis of Gene Expression </w:t>
      </w:r>
      <w:proofErr w:type="gramStart"/>
      <w:r w:rsidR="000E5825" w:rsidRPr="000E5825">
        <w:rPr>
          <w:u w:val="single"/>
        </w:rPr>
        <w:t>Microarray</w:t>
      </w:r>
      <w:r w:rsidR="000E5825">
        <w:t xml:space="preserve"> )</w:t>
      </w:r>
      <w:proofErr w:type="gramEnd"/>
      <w:r w:rsidR="000E5825">
        <w:t xml:space="preserve"> In this paper, a</w:t>
      </w:r>
      <w:r w:rsidR="000E5825" w:rsidRPr="000E5825">
        <w:t xml:space="preserve"> total of 92 advanced breast cancer patients, including 46 p</w:t>
      </w:r>
      <w:r w:rsidR="000E5825">
        <w:t xml:space="preserve">atients with BM and 46 patients. </w:t>
      </w:r>
    </w:p>
    <w:p w:rsidR="000D01BD" w:rsidRDefault="000D01BD">
      <w:r w:rsidRPr="000D01BD">
        <w:t xml:space="preserve">This study was approved by the ethics committee of the Medical Faculty, </w:t>
      </w:r>
      <w:proofErr w:type="spellStart"/>
      <w:r w:rsidRPr="0084699B">
        <w:rPr>
          <w:b/>
          <w:color w:val="FF0000"/>
        </w:rPr>
        <w:t>Universitas</w:t>
      </w:r>
      <w:proofErr w:type="spellEnd"/>
      <w:r w:rsidRPr="0084699B">
        <w:rPr>
          <w:b/>
          <w:color w:val="FF0000"/>
        </w:rPr>
        <w:t xml:space="preserve"> Indonesia</w:t>
      </w:r>
      <w:r w:rsidRPr="000D01BD">
        <w:t>.</w:t>
      </w:r>
      <w:r>
        <w:t xml:space="preserve"> </w:t>
      </w:r>
      <w:r w:rsidR="0084699B">
        <w:t xml:space="preserve"> R</w:t>
      </w:r>
      <w:r w:rsidRPr="000D01BD">
        <w:t>esult</w:t>
      </w:r>
      <w:r w:rsidR="0084699B">
        <w:t>s</w:t>
      </w:r>
      <w:r w:rsidRPr="000D01BD">
        <w:t xml:space="preserve"> show a tendency for breast cancer to afflict women at a younger age, and similar trends have also been </w:t>
      </w:r>
      <w:r w:rsidRPr="0084699B">
        <w:rPr>
          <w:u w:val="single"/>
        </w:rPr>
        <w:t>observed in Pakistan, India, and Sri Lank</w:t>
      </w:r>
    </w:p>
    <w:p w:rsidR="000D01BD" w:rsidRPr="000D01BD" w:rsidRDefault="000D01BD" w:rsidP="000D01BD">
      <w:pPr>
        <w:spacing w:line="330" w:lineRule="atLeast"/>
        <w:rPr>
          <w:rFonts w:ascii="Arial" w:eastAsia="Times New Roman" w:hAnsi="Arial" w:cs="Arial"/>
          <w:color w:val="737373"/>
          <w:sz w:val="20"/>
          <w:szCs w:val="20"/>
          <w:lang w:val="en"/>
        </w:rPr>
      </w:pPr>
      <w:r w:rsidRPr="000D01BD">
        <w:rPr>
          <w:rFonts w:ascii="Arial" w:eastAsia="Times New Roman" w:hAnsi="Arial" w:cs="Arial"/>
          <w:color w:val="737373"/>
          <w:sz w:val="20"/>
          <w:szCs w:val="20"/>
          <w:lang w:val="en"/>
        </w:rPr>
        <w:t xml:space="preserve">Table 1. Association </w:t>
      </w:r>
      <w:hyperlink r:id="rId6" w:tooltip="Learn more about Immunohistochemistry" w:history="1">
        <w:r w:rsidRPr="000D01BD">
          <w:rPr>
            <w:rFonts w:ascii="Arial" w:eastAsia="Times New Roman" w:hAnsi="Arial" w:cs="Arial"/>
            <w:color w:val="007398"/>
            <w:sz w:val="20"/>
            <w:szCs w:val="20"/>
            <w:lang w:val="en"/>
          </w:rPr>
          <w:t>Immunohistochemistry</w:t>
        </w:r>
      </w:hyperlink>
      <w:r w:rsidRPr="000D01BD">
        <w:rPr>
          <w:rFonts w:ascii="Arial" w:eastAsia="Times New Roman" w:hAnsi="Arial" w:cs="Arial"/>
          <w:color w:val="737373"/>
          <w:sz w:val="20"/>
          <w:szCs w:val="20"/>
          <w:lang w:val="en"/>
        </w:rPr>
        <w:t xml:space="preserve"> With Bone and Non-Bone Metastases in Advanced </w:t>
      </w:r>
      <w:hyperlink r:id="rId7" w:tooltip="Learn more about Breast Cancer" w:history="1">
        <w:r w:rsidRPr="000D01BD">
          <w:rPr>
            <w:rFonts w:ascii="Arial" w:eastAsia="Times New Roman" w:hAnsi="Arial" w:cs="Arial"/>
            <w:color w:val="007398"/>
            <w:sz w:val="20"/>
            <w:szCs w:val="20"/>
            <w:lang w:val="en"/>
          </w:rPr>
          <w:t>Breast Cancer</w:t>
        </w:r>
      </w:hyperlink>
      <w:r w:rsidRPr="000D01BD">
        <w:rPr>
          <w:rFonts w:ascii="Arial" w:eastAsia="Times New Roman" w:hAnsi="Arial" w:cs="Arial"/>
          <w:color w:val="737373"/>
          <w:sz w:val="20"/>
          <w:szCs w:val="20"/>
          <w:lang w:val="en"/>
        </w:rPr>
        <w:t xml:space="preserve"> Patients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6"/>
        <w:gridCol w:w="1144"/>
        <w:gridCol w:w="1602"/>
        <w:gridCol w:w="3884"/>
        <w:gridCol w:w="534"/>
      </w:tblGrid>
      <w:tr w:rsidR="000D01BD" w:rsidRPr="000D01BD" w:rsidTr="000D01BD">
        <w:trPr>
          <w:tblHeader/>
        </w:trPr>
        <w:tc>
          <w:tcPr>
            <w:tcW w:w="0" w:type="auto"/>
            <w:vMerge w:val="restart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jc w:val="center"/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  <w:t>Clinicopathology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jc w:val="center"/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  <w:t>Metastasis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jc w:val="center"/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  <w:t>Crude OR (95% confidence interval [CI])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jc w:val="center"/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b/>
                <w:bCs/>
                <w:i/>
                <w:iCs/>
                <w:color w:val="505050"/>
                <w:sz w:val="20"/>
                <w:szCs w:val="20"/>
              </w:rPr>
              <w:t>P</w:t>
            </w:r>
          </w:p>
        </w:tc>
      </w:tr>
      <w:tr w:rsidR="000D01BD" w:rsidRPr="000D01BD" w:rsidTr="000D01BD">
        <w:trPr>
          <w:tblHeader/>
        </w:trPr>
        <w:tc>
          <w:tcPr>
            <w:tcW w:w="0" w:type="auto"/>
            <w:vMerge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jc w:val="center"/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  <w:t>Bone, n (%)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jc w:val="center"/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  <w:t>Non-Bone, n (%)</w:t>
            </w:r>
          </w:p>
        </w:tc>
        <w:tc>
          <w:tcPr>
            <w:tcW w:w="0" w:type="auto"/>
            <w:vMerge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</w:pP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jc w:val="center"/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  <w:t>Age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 &gt;64 Years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3 (33.3)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6 (66.7)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0.500 (0.105-2.379)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.384</w:t>
            </w: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 55-64 Years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8 (47.1)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9 (52.9)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0.889 (0.270-2.925)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.846</w:t>
            </w: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  <w:t> 45-54 Years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  <w:t>20 (55.6)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  <w:t>16 (44.4)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  <w:t>1.250 (0.473-3.303)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.653</w:t>
            </w: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 35-44 Years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15 (50.0)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15 (50.0)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proofErr w:type="spellStart"/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Reff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jc w:val="center"/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  <w:t>Histopathology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  <w:t> Ductal invasive/NST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  <w:t>37 (50.7)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  <w:t>36 (49.3)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  <w:t>1.142 (0.415-3.137)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1.000</w:t>
            </w: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 Lobular invasive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9 (47.4)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10 (52.6)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proofErr w:type="spellStart"/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Reff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jc w:val="center"/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  <w:t>Malignancy Degree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 Low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13 (43.3)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17 (56.7)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0.328 (0.070-1.518)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.154</w:t>
            </w: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 Intermediate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26 (50.0)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26 (50.0)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0.429 (0.099-1.841)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.255</w:t>
            </w: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 High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7 (70.0)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3 (30.0)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proofErr w:type="spellStart"/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Reff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jc w:val="center"/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  <w:t>Primary/Relapse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  <w:t> Primary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  <w:t>25 (43.9)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  <w:t>32 (56.1)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  <w:t>0.521 (0.222-1.225)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  <w:t>.198</w:t>
            </w: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 Relapse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21 (60.0)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14 (40.0)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proofErr w:type="spellStart"/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Reff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jc w:val="center"/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  <w:t>Estrogen Receptors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b/>
                <w:color w:val="090C97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b/>
                <w:color w:val="090C97"/>
                <w:sz w:val="20"/>
                <w:szCs w:val="20"/>
              </w:rPr>
              <w:t> Positive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b/>
                <w:color w:val="090C97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b/>
                <w:color w:val="090C97"/>
                <w:sz w:val="20"/>
                <w:szCs w:val="20"/>
              </w:rPr>
              <w:t>39 (66.1)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b/>
                <w:color w:val="090C97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b/>
                <w:color w:val="090C97"/>
                <w:sz w:val="20"/>
                <w:szCs w:val="20"/>
              </w:rPr>
              <w:t>20 (33.9)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b/>
                <w:color w:val="090C97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b/>
                <w:color w:val="090C97"/>
                <w:sz w:val="20"/>
                <w:szCs w:val="20"/>
              </w:rPr>
              <w:t>7.243 (2.682-19.561)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b/>
                <w:color w:val="090C97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b/>
                <w:color w:val="090C97"/>
                <w:sz w:val="20"/>
                <w:szCs w:val="20"/>
              </w:rPr>
              <w:t>&lt;.001</w:t>
            </w: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 Negative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7 (21.2)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26 (78.8)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proofErr w:type="spellStart"/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Reff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jc w:val="center"/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  <w:t>Progesterone Receptors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 Positive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33 (58.9)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23 (41.1)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2.538 (1.070-6.021)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.033</w:t>
            </w: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 Negative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13 (36,1)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23 (63.9)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proofErr w:type="spellStart"/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Reff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jc w:val="center"/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  <w:t>HER2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 High expression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15 (40.5)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22 (59.5)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0.528 (0.227-1.229)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.202</w:t>
            </w: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 Low expression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31 (56.4)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24 (43.6)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proofErr w:type="spellStart"/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Reff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jc w:val="center"/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b/>
                <w:bCs/>
                <w:color w:val="505050"/>
                <w:sz w:val="20"/>
                <w:szCs w:val="20"/>
              </w:rPr>
              <w:t>Molecular subtype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  <w:t> Luminal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  <w:t>39 (58.2)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  <w:t>28 (41.8)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  <w:t>3.582 (1.319-9.726)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FF0000"/>
                <w:sz w:val="20"/>
                <w:szCs w:val="20"/>
              </w:rPr>
              <w:t>.019</w:t>
            </w: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 TNBC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0 (0.0)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8 (100.0)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–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.006</w:t>
            </w:r>
          </w:p>
        </w:tc>
      </w:tr>
      <w:tr w:rsidR="000D01BD" w:rsidRPr="000D01BD" w:rsidTr="000D01BD"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 HER2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7 (41.2)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10 (58.8)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0.646 (0.222-1.878)</w:t>
            </w:r>
          </w:p>
        </w:tc>
        <w:tc>
          <w:tcPr>
            <w:tcW w:w="0" w:type="auto"/>
            <w:vAlign w:val="center"/>
            <w:hideMark/>
          </w:tcPr>
          <w:p w:rsidR="000D01BD" w:rsidRPr="000D01BD" w:rsidRDefault="000D01BD" w:rsidP="000D01BD">
            <w:pPr>
              <w:spacing w:after="0" w:line="240" w:lineRule="auto"/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</w:pPr>
            <w:r w:rsidRPr="000D01BD">
              <w:rPr>
                <w:rFonts w:ascii="NexusSans" w:eastAsia="Times New Roman" w:hAnsi="NexusSans" w:cs="Times New Roman"/>
                <w:color w:val="505050"/>
                <w:sz w:val="20"/>
                <w:szCs w:val="20"/>
              </w:rPr>
              <w:t>.591</w:t>
            </w:r>
          </w:p>
        </w:tc>
      </w:tr>
    </w:tbl>
    <w:p w:rsidR="000D01BD" w:rsidRPr="000D01BD" w:rsidRDefault="000D01BD" w:rsidP="000D01BD">
      <w:pPr>
        <w:spacing w:line="360" w:lineRule="auto"/>
        <w:rPr>
          <w:rFonts w:ascii="Arial" w:eastAsia="Times New Roman" w:hAnsi="Arial" w:cs="Arial"/>
          <w:color w:val="505050"/>
          <w:sz w:val="20"/>
          <w:szCs w:val="20"/>
          <w:lang w:val="en"/>
        </w:rPr>
      </w:pPr>
      <w:r w:rsidRPr="000D01BD">
        <w:rPr>
          <w:rFonts w:ascii="Arial" w:eastAsia="Times New Roman" w:hAnsi="Arial" w:cs="Arial"/>
          <w:color w:val="505050"/>
          <w:sz w:val="20"/>
          <w:szCs w:val="20"/>
          <w:lang w:val="en"/>
        </w:rPr>
        <w:t xml:space="preserve">Abbreviations: NST = no specific type; </w:t>
      </w:r>
      <w:proofErr w:type="spellStart"/>
      <w:r w:rsidRPr="000D01BD">
        <w:rPr>
          <w:rFonts w:ascii="Arial" w:eastAsia="Times New Roman" w:hAnsi="Arial" w:cs="Arial"/>
          <w:color w:val="505050"/>
          <w:sz w:val="20"/>
          <w:szCs w:val="20"/>
          <w:lang w:val="en"/>
        </w:rPr>
        <w:t>Reff</w:t>
      </w:r>
      <w:proofErr w:type="spellEnd"/>
      <w:r w:rsidRPr="000D01BD">
        <w:rPr>
          <w:rFonts w:ascii="Arial" w:eastAsia="Times New Roman" w:hAnsi="Arial" w:cs="Arial"/>
          <w:color w:val="505050"/>
          <w:sz w:val="20"/>
          <w:szCs w:val="20"/>
          <w:lang w:val="en"/>
        </w:rPr>
        <w:t xml:space="preserve"> = represents the group with the lowest risk; TNBC = </w:t>
      </w:r>
      <w:hyperlink r:id="rId8" w:tooltip="Learn more about Triple-negative Breast Cancer" w:history="1">
        <w:r w:rsidRPr="000D01BD">
          <w:rPr>
            <w:rFonts w:ascii="Arial" w:eastAsia="Times New Roman" w:hAnsi="Arial" w:cs="Arial"/>
            <w:color w:val="007398"/>
            <w:sz w:val="20"/>
            <w:szCs w:val="20"/>
            <w:lang w:val="en"/>
          </w:rPr>
          <w:t>triple negative breast cancer</w:t>
        </w:r>
      </w:hyperlink>
      <w:r w:rsidRPr="000D01BD">
        <w:rPr>
          <w:rFonts w:ascii="Arial" w:eastAsia="Times New Roman" w:hAnsi="Arial" w:cs="Arial"/>
          <w:color w:val="505050"/>
          <w:sz w:val="20"/>
          <w:szCs w:val="20"/>
          <w:lang w:val="en"/>
        </w:rPr>
        <w:t>.</w:t>
      </w:r>
    </w:p>
    <w:p w:rsidR="0081300E" w:rsidRPr="004465D7" w:rsidRDefault="0084699B" w:rsidP="000D01BD">
      <w:pPr>
        <w:rPr>
          <w:color w:val="6600FF"/>
        </w:rPr>
      </w:pPr>
      <w:r w:rsidRPr="004465D7">
        <w:rPr>
          <w:color w:val="6600FF"/>
          <w:u w:val="single"/>
        </w:rPr>
        <w:lastRenderedPageBreak/>
        <w:t xml:space="preserve">Banjo network analysis could be done </w:t>
      </w:r>
      <w:r w:rsidRPr="004465D7">
        <w:rPr>
          <w:color w:val="6600FF"/>
        </w:rPr>
        <w:t xml:space="preserve">based on differentially expressed between breast cancer patients with metastasis in bone (BM+ - 42 patients) and non-BM (NBM – 39 patients) incorporating </w:t>
      </w:r>
      <w:r w:rsidRPr="004465D7">
        <w:rPr>
          <w:b/>
          <w:color w:val="6600FF"/>
          <w:u w:val="single"/>
        </w:rPr>
        <w:t>all Clinicopathology characteristics listed in Table 1</w:t>
      </w:r>
      <w:r w:rsidRPr="004465D7">
        <w:rPr>
          <w:color w:val="6600FF"/>
        </w:rPr>
        <w:t xml:space="preserve"> following this paper .</w:t>
      </w:r>
    </w:p>
    <w:p w:rsidR="004465D7" w:rsidRDefault="004465D7" w:rsidP="004465D7"/>
    <w:p w:rsidR="004465D7" w:rsidRPr="004465D7" w:rsidRDefault="00CF7BDC" w:rsidP="004465D7">
      <w:pPr>
        <w:rPr>
          <w:b/>
        </w:rPr>
      </w:pPr>
      <w:r>
        <w:rPr>
          <w:b/>
        </w:rPr>
        <w:t>Now i</w:t>
      </w:r>
      <w:r w:rsidR="004465D7" w:rsidRPr="004465D7">
        <w:rPr>
          <w:b/>
        </w:rPr>
        <w:t>n the case of 615 patients procured from two GEO sources</w:t>
      </w:r>
    </w:p>
    <w:p w:rsidR="004465D7" w:rsidRPr="004465D7" w:rsidRDefault="004465D7" w:rsidP="004465D7">
      <w:pPr>
        <w:spacing w:after="0" w:line="240" w:lineRule="auto"/>
      </w:pPr>
      <w:r w:rsidRPr="004465D7">
        <w:t xml:space="preserve">Latent Bone Metastasis in Breast Cancer Tied to </w:t>
      </w:r>
      <w:proofErr w:type="spellStart"/>
      <w:r w:rsidRPr="004465D7">
        <w:t>Src</w:t>
      </w:r>
      <w:proofErr w:type="spellEnd"/>
      <w:r w:rsidRPr="004465D7">
        <w:t>-Dependent Survival Signals</w:t>
      </w:r>
    </w:p>
    <w:p w:rsidR="004465D7" w:rsidRDefault="004465D7" w:rsidP="004465D7">
      <w:pPr>
        <w:spacing w:after="0" w:line="240" w:lineRule="auto"/>
      </w:pPr>
      <w:r>
        <w:t xml:space="preserve">Xiang H.-F. Zhang, </w:t>
      </w:r>
      <w:proofErr w:type="spellStart"/>
      <w:r>
        <w:t>Qiongqing</w:t>
      </w:r>
      <w:proofErr w:type="spellEnd"/>
      <w:r>
        <w:t xml:space="preserve"> Wang, William Gerald, Clifford A. </w:t>
      </w:r>
      <w:proofErr w:type="spellStart"/>
      <w:r>
        <w:t>Hudis</w:t>
      </w:r>
      <w:proofErr w:type="spellEnd"/>
      <w:r>
        <w:t xml:space="preserve">, Larry Norton, Marcel </w:t>
      </w:r>
      <w:proofErr w:type="spellStart"/>
      <w:r>
        <w:t>Smid</w:t>
      </w:r>
      <w:proofErr w:type="spellEnd"/>
      <w:r>
        <w:t>, John</w:t>
      </w:r>
    </w:p>
    <w:p w:rsidR="0084699B" w:rsidRDefault="004465D7" w:rsidP="004465D7">
      <w:pPr>
        <w:spacing w:after="0" w:line="240" w:lineRule="auto"/>
      </w:pPr>
      <w:r>
        <w:t xml:space="preserve">A. </w:t>
      </w:r>
      <w:proofErr w:type="spellStart"/>
      <w:r>
        <w:t>Foekens</w:t>
      </w:r>
      <w:proofErr w:type="spellEnd"/>
      <w:r>
        <w:t xml:space="preserve">, and Joan </w:t>
      </w:r>
      <w:proofErr w:type="spellStart"/>
      <w:r>
        <w:t>Massagué</w:t>
      </w:r>
      <w:proofErr w:type="spellEnd"/>
      <w:r>
        <w:t xml:space="preserve"> </w:t>
      </w:r>
      <w:r w:rsidRPr="004465D7">
        <w:t>Cancer Cell, Volume 16</w:t>
      </w:r>
    </w:p>
    <w:p w:rsidR="004465D7" w:rsidRDefault="004465D7" w:rsidP="000D01BD"/>
    <w:p w:rsidR="0084699B" w:rsidRDefault="0084699B" w:rsidP="000D01BD">
      <w:r w:rsidRPr="0084699B">
        <w:t>Table S1: Clinical features of the 615 patients</w:t>
      </w:r>
    </w:p>
    <w:p w:rsidR="002A4335" w:rsidRDefault="002A4335" w:rsidP="002A43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Table S2: Correlation of ER, PR and Her</w:t>
      </w:r>
      <w:proofErr w:type="gramStart"/>
      <w:r>
        <w:rPr>
          <w:rFonts w:ascii="Arial" w:hAnsi="Arial" w:cs="Arial"/>
          <w:b/>
          <w:bCs/>
        </w:rPr>
        <w:t>2  status</w:t>
      </w:r>
      <w:proofErr w:type="gramEnd"/>
      <w:r>
        <w:rPr>
          <w:rFonts w:ascii="Arial" w:hAnsi="Arial" w:cs="Arial"/>
          <w:b/>
          <w:bCs/>
        </w:rPr>
        <w:t xml:space="preserve"> with various clinical features</w:t>
      </w:r>
    </w:p>
    <w:p w:rsidR="002A4335" w:rsidRDefault="002A4335" w:rsidP="002A433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 w:rsidRPr="002A4335">
        <w:rPr>
          <w:rFonts w:ascii="ArialMT" w:hAnsi="ArialMT" w:cs="ArialMT"/>
        </w:rPr>
        <w:t xml:space="preserve">ER+ </w:t>
      </w:r>
      <w:r>
        <w:rPr>
          <w:rFonts w:ascii="ArialMT" w:hAnsi="ArialMT" w:cs="ArialMT"/>
        </w:rPr>
        <w:tab/>
      </w:r>
      <w:r w:rsidRPr="002A4335">
        <w:rPr>
          <w:rFonts w:ascii="ArialMT" w:hAnsi="ArialMT" w:cs="ArialMT"/>
        </w:rPr>
        <w:t>328</w:t>
      </w:r>
      <w:r>
        <w:rPr>
          <w:rFonts w:ascii="ArialMT" w:hAnsi="ArialMT" w:cs="ArialMT"/>
        </w:rPr>
        <w:t>+</w:t>
      </w:r>
      <w:r w:rsidRPr="002A4335">
        <w:rPr>
          <w:rFonts w:ascii="ArialMT" w:hAnsi="ArialMT" w:cs="ArialMT"/>
        </w:rPr>
        <w:t>43</w:t>
      </w:r>
      <w:r w:rsidR="00CF7BDC">
        <w:rPr>
          <w:rFonts w:ascii="ArialMT" w:hAnsi="ArialMT" w:cs="ArialMT"/>
        </w:rPr>
        <w:t xml:space="preserve"> (number of patients)</w:t>
      </w:r>
    </w:p>
    <w:p w:rsidR="002A4335" w:rsidRDefault="002A4335" w:rsidP="002A433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 w:rsidRPr="002A4335">
        <w:rPr>
          <w:rFonts w:ascii="ArialMT" w:hAnsi="ArialMT" w:cs="ArialMT"/>
        </w:rPr>
        <w:t xml:space="preserve">ER- </w:t>
      </w:r>
      <w:r>
        <w:rPr>
          <w:rFonts w:ascii="ArialMT" w:hAnsi="ArialMT" w:cs="ArialMT"/>
        </w:rPr>
        <w:t xml:space="preserve">  </w:t>
      </w:r>
      <w:r>
        <w:rPr>
          <w:rFonts w:ascii="ArialMT" w:hAnsi="ArialMT" w:cs="ArialMT"/>
        </w:rPr>
        <w:tab/>
      </w:r>
      <w:r w:rsidRPr="002A4335">
        <w:rPr>
          <w:rFonts w:ascii="ArialMT" w:hAnsi="ArialMT" w:cs="ArialMT"/>
        </w:rPr>
        <w:t>56</w:t>
      </w:r>
      <w:r>
        <w:rPr>
          <w:rFonts w:ascii="ArialMT" w:hAnsi="ArialMT" w:cs="ArialMT"/>
        </w:rPr>
        <w:t>+</w:t>
      </w:r>
      <w:r w:rsidRPr="002A4335">
        <w:rPr>
          <w:rFonts w:ascii="ArialMT" w:hAnsi="ArialMT" w:cs="ArialMT"/>
        </w:rPr>
        <w:t>188</w:t>
      </w:r>
    </w:p>
    <w:p w:rsidR="002A4335" w:rsidRDefault="002A4335" w:rsidP="002A433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:rsidR="002A4335" w:rsidRDefault="002A4335" w:rsidP="002A433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 w:rsidRPr="002A4335">
        <w:rPr>
          <w:rFonts w:ascii="ArialMT" w:hAnsi="ArialMT" w:cs="ArialMT"/>
        </w:rPr>
        <w:t xml:space="preserve">PR+ </w:t>
      </w:r>
      <w:r>
        <w:rPr>
          <w:rFonts w:ascii="ArialMT" w:hAnsi="ArialMT" w:cs="ArialMT"/>
        </w:rPr>
        <w:t xml:space="preserve"> </w:t>
      </w:r>
      <w:r>
        <w:rPr>
          <w:rFonts w:ascii="ArialMT" w:hAnsi="ArialMT" w:cs="ArialMT"/>
        </w:rPr>
        <w:tab/>
      </w:r>
      <w:r w:rsidRPr="002A4335">
        <w:rPr>
          <w:rFonts w:ascii="ArialMT" w:hAnsi="ArialMT" w:cs="ArialMT"/>
        </w:rPr>
        <w:t xml:space="preserve">270 </w:t>
      </w:r>
      <w:r>
        <w:rPr>
          <w:rFonts w:ascii="ArialMT" w:hAnsi="ArialMT" w:cs="ArialMT"/>
        </w:rPr>
        <w:t>+</w:t>
      </w:r>
      <w:r w:rsidRPr="002A4335">
        <w:rPr>
          <w:rFonts w:ascii="ArialMT" w:hAnsi="ArialMT" w:cs="ArialMT"/>
        </w:rPr>
        <w:t>39</w:t>
      </w:r>
    </w:p>
    <w:p w:rsidR="002A4335" w:rsidRDefault="002A4335" w:rsidP="002A433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 w:rsidRPr="002A4335">
        <w:rPr>
          <w:rFonts w:ascii="ArialMT" w:hAnsi="ArialMT" w:cs="ArialMT"/>
        </w:rPr>
        <w:t xml:space="preserve">PR- </w:t>
      </w:r>
      <w:r>
        <w:rPr>
          <w:rFonts w:ascii="ArialMT" w:hAnsi="ArialMT" w:cs="ArialMT"/>
        </w:rPr>
        <w:t xml:space="preserve">    </w:t>
      </w:r>
      <w:r w:rsidRPr="002A4335">
        <w:rPr>
          <w:rFonts w:ascii="ArialMT" w:hAnsi="ArialMT" w:cs="ArialMT"/>
        </w:rPr>
        <w:t xml:space="preserve">99 </w:t>
      </w:r>
      <w:r>
        <w:rPr>
          <w:rFonts w:ascii="ArialMT" w:hAnsi="ArialMT" w:cs="ArialMT"/>
        </w:rPr>
        <w:t xml:space="preserve">+ </w:t>
      </w:r>
      <w:r w:rsidRPr="002A4335">
        <w:rPr>
          <w:rFonts w:ascii="ArialMT" w:hAnsi="ArialMT" w:cs="ArialMT"/>
        </w:rPr>
        <w:t>185</w:t>
      </w:r>
    </w:p>
    <w:p w:rsidR="002A4335" w:rsidRDefault="002A4335" w:rsidP="002A433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:rsidR="002A4335" w:rsidRDefault="002A4335" w:rsidP="002A433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Her2+ </w:t>
      </w:r>
      <w:r>
        <w:rPr>
          <w:rFonts w:ascii="ArialMT" w:hAnsi="ArialMT" w:cs="ArialMT"/>
        </w:rPr>
        <w:tab/>
        <w:t>74+ 37</w:t>
      </w:r>
    </w:p>
    <w:p w:rsidR="002A4335" w:rsidRDefault="002A4335" w:rsidP="002A433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 w:rsidRPr="002A4335">
        <w:rPr>
          <w:rFonts w:ascii="ArialMT" w:hAnsi="ArialMT" w:cs="ArialMT"/>
        </w:rPr>
        <w:t xml:space="preserve">Her2- </w:t>
      </w:r>
      <w:r>
        <w:rPr>
          <w:rFonts w:ascii="ArialMT" w:hAnsi="ArialMT" w:cs="ArialMT"/>
        </w:rPr>
        <w:tab/>
      </w:r>
      <w:r w:rsidRPr="002A4335">
        <w:rPr>
          <w:rFonts w:ascii="ArialMT" w:hAnsi="ArialMT" w:cs="ArialMT"/>
        </w:rPr>
        <w:t xml:space="preserve">262 </w:t>
      </w:r>
      <w:r>
        <w:rPr>
          <w:rFonts w:ascii="ArialMT" w:hAnsi="ArialMT" w:cs="ArialMT"/>
        </w:rPr>
        <w:t>+</w:t>
      </w:r>
      <w:r w:rsidRPr="002A4335">
        <w:rPr>
          <w:rFonts w:ascii="ArialMT" w:hAnsi="ArialMT" w:cs="ArialMT"/>
        </w:rPr>
        <w:t>181</w:t>
      </w:r>
    </w:p>
    <w:p w:rsidR="002A4335" w:rsidRDefault="002A4335" w:rsidP="002A433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:rsidR="002A4335" w:rsidRDefault="002A4335" w:rsidP="002A433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:rsidR="002A4335" w:rsidRDefault="002A4335" w:rsidP="002A43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Table S6: The numbers of patients that are subject to different adjuvant therapies</w:t>
      </w:r>
    </w:p>
    <w:p w:rsidR="004465D7" w:rsidRDefault="004465D7" w:rsidP="002A43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:rsidR="004465D7" w:rsidRPr="004465D7" w:rsidRDefault="004465D7" w:rsidP="002A43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u w:val="single"/>
        </w:rPr>
      </w:pPr>
      <w:r w:rsidRPr="004465D7">
        <w:rPr>
          <w:rFonts w:ascii="Arial" w:hAnsi="Arial" w:cs="Arial"/>
          <w:bCs/>
          <w:u w:val="single"/>
        </w:rPr>
        <w:t>Only lymph node positive or received adjuvant hormonal therapy and/or chemotherapy</w:t>
      </w:r>
    </w:p>
    <w:p w:rsidR="004465D7" w:rsidRDefault="004465D7" w:rsidP="002A43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2A4335" w:rsidRDefault="002A4335" w:rsidP="002A433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Adjuvant chemotherapy </w:t>
      </w:r>
      <w:r w:rsidR="00EE339E">
        <w:rPr>
          <w:rFonts w:ascii="ArialMT" w:hAnsi="ArialMT" w:cs="ArialMT"/>
        </w:rPr>
        <w:tab/>
      </w:r>
      <w:r>
        <w:rPr>
          <w:rFonts w:ascii="ArialMT" w:hAnsi="ArialMT" w:cs="ArialMT"/>
        </w:rPr>
        <w:t>Adjuvant hormone therapy</w:t>
      </w:r>
      <w:r w:rsidR="00CF7BDC">
        <w:rPr>
          <w:rFonts w:ascii="ArialMT" w:hAnsi="ArialMT" w:cs="ArialMT"/>
        </w:rPr>
        <w:t xml:space="preserve"> (number of patients)</w:t>
      </w:r>
    </w:p>
    <w:p w:rsidR="002A4335" w:rsidRDefault="002A4335" w:rsidP="00EE339E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Arial" w:hAnsi="Arial" w:cs="Arial"/>
          <w:b/>
          <w:bCs/>
        </w:rPr>
      </w:pPr>
      <w:r>
        <w:rPr>
          <w:rFonts w:ascii="ArialMT" w:hAnsi="ArialMT" w:cs="ArialMT"/>
        </w:rPr>
        <w:t xml:space="preserve">Unknown </w:t>
      </w:r>
      <w:r w:rsidR="00EE339E">
        <w:rPr>
          <w:rFonts w:ascii="ArialMT" w:hAnsi="ArialMT" w:cs="ArialMT"/>
        </w:rPr>
        <w:tab/>
      </w:r>
      <w:r>
        <w:rPr>
          <w:rFonts w:ascii="Arial" w:hAnsi="Arial" w:cs="Arial"/>
          <w:b/>
          <w:bCs/>
        </w:rPr>
        <w:t xml:space="preserve">- </w:t>
      </w:r>
      <w:r w:rsidR="00EE339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+</w:t>
      </w:r>
    </w:p>
    <w:p w:rsidR="002A4335" w:rsidRDefault="002A4335" w:rsidP="002A433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Unknown </w:t>
      </w:r>
      <w:r w:rsidR="00EE339E">
        <w:rPr>
          <w:rFonts w:ascii="ArialMT" w:hAnsi="ArialMT" w:cs="ArialMT"/>
        </w:rPr>
        <w:tab/>
      </w:r>
      <w:r w:rsidR="00EE339E">
        <w:rPr>
          <w:rFonts w:ascii="ArialMT" w:hAnsi="ArialMT" w:cs="ArialMT"/>
        </w:rPr>
        <w:tab/>
      </w:r>
      <w:r w:rsidR="00EE339E">
        <w:rPr>
          <w:rFonts w:ascii="ArialMT" w:hAnsi="ArialMT" w:cs="ArialMT"/>
        </w:rPr>
        <w:tab/>
      </w:r>
      <w:r>
        <w:rPr>
          <w:rFonts w:ascii="ArialMT" w:hAnsi="ArialMT" w:cs="ArialMT"/>
        </w:rPr>
        <w:t xml:space="preserve">13 </w:t>
      </w:r>
      <w:r w:rsidR="00EE339E">
        <w:rPr>
          <w:rFonts w:ascii="ArialMT" w:hAnsi="ArialMT" w:cs="ArialMT"/>
        </w:rPr>
        <w:tab/>
      </w:r>
      <w:r w:rsidR="00EE339E">
        <w:rPr>
          <w:rFonts w:ascii="ArialMT" w:hAnsi="ArialMT" w:cs="ArialMT"/>
        </w:rPr>
        <w:tab/>
      </w:r>
      <w:r>
        <w:rPr>
          <w:rFonts w:ascii="ArialMT" w:hAnsi="ArialMT" w:cs="ArialMT"/>
        </w:rPr>
        <w:t xml:space="preserve">0 </w:t>
      </w:r>
      <w:r w:rsidR="00EE339E">
        <w:rPr>
          <w:rFonts w:ascii="ArialMT" w:hAnsi="ArialMT" w:cs="ArialMT"/>
        </w:rPr>
        <w:tab/>
      </w:r>
      <w:r>
        <w:rPr>
          <w:rFonts w:ascii="ArialMT" w:hAnsi="ArialMT" w:cs="ArialMT"/>
        </w:rPr>
        <w:t>2</w:t>
      </w:r>
    </w:p>
    <w:p w:rsidR="002A4335" w:rsidRDefault="002A4335" w:rsidP="002A433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No chemo </w:t>
      </w:r>
      <w:r w:rsidR="00EE339E">
        <w:rPr>
          <w:rFonts w:ascii="ArialMT" w:hAnsi="ArialMT" w:cs="ArialMT"/>
        </w:rPr>
        <w:tab/>
      </w:r>
      <w:r w:rsidR="00EE339E">
        <w:rPr>
          <w:rFonts w:ascii="ArialMT" w:hAnsi="ArialMT" w:cs="ArialMT"/>
        </w:rPr>
        <w:tab/>
      </w:r>
      <w:r w:rsidR="00EE339E">
        <w:rPr>
          <w:rFonts w:ascii="ArialMT" w:hAnsi="ArialMT" w:cs="ArialMT"/>
        </w:rPr>
        <w:tab/>
      </w:r>
      <w:r>
        <w:rPr>
          <w:rFonts w:ascii="ArialMT" w:hAnsi="ArialMT" w:cs="ArialMT"/>
        </w:rPr>
        <w:t xml:space="preserve">0 </w:t>
      </w:r>
      <w:r w:rsidR="00EE339E">
        <w:rPr>
          <w:rFonts w:ascii="ArialMT" w:hAnsi="ArialMT" w:cs="ArialMT"/>
        </w:rPr>
        <w:tab/>
      </w:r>
      <w:r w:rsidR="00EE339E">
        <w:rPr>
          <w:rFonts w:ascii="ArialMT" w:hAnsi="ArialMT" w:cs="ArialMT"/>
        </w:rPr>
        <w:tab/>
      </w:r>
      <w:r>
        <w:rPr>
          <w:rFonts w:ascii="ArialMT" w:hAnsi="ArialMT" w:cs="ArialMT"/>
        </w:rPr>
        <w:t xml:space="preserve">455 </w:t>
      </w:r>
      <w:r w:rsidR="00EE339E">
        <w:rPr>
          <w:rFonts w:ascii="ArialMT" w:hAnsi="ArialMT" w:cs="ArialMT"/>
        </w:rPr>
        <w:tab/>
      </w:r>
      <w:r>
        <w:rPr>
          <w:rFonts w:ascii="ArialMT" w:hAnsi="ArialMT" w:cs="ArialMT"/>
        </w:rPr>
        <w:t>54</w:t>
      </w:r>
    </w:p>
    <w:p w:rsidR="002A4335" w:rsidRDefault="002A4335" w:rsidP="002A433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+ Chemo </w:t>
      </w:r>
      <w:r w:rsidR="00EE339E">
        <w:rPr>
          <w:rFonts w:ascii="ArialMT" w:hAnsi="ArialMT" w:cs="ArialMT"/>
        </w:rPr>
        <w:tab/>
      </w:r>
      <w:r w:rsidR="00EE339E">
        <w:rPr>
          <w:rFonts w:ascii="ArialMT" w:hAnsi="ArialMT" w:cs="ArialMT"/>
        </w:rPr>
        <w:tab/>
      </w:r>
      <w:r w:rsidR="00EE339E">
        <w:rPr>
          <w:rFonts w:ascii="ArialMT" w:hAnsi="ArialMT" w:cs="ArialMT"/>
        </w:rPr>
        <w:tab/>
      </w:r>
      <w:r>
        <w:rPr>
          <w:rFonts w:ascii="ArialMT" w:hAnsi="ArialMT" w:cs="ArialMT"/>
        </w:rPr>
        <w:t xml:space="preserve">1 </w:t>
      </w:r>
      <w:r w:rsidR="00EE339E">
        <w:rPr>
          <w:rFonts w:ascii="ArialMT" w:hAnsi="ArialMT" w:cs="ArialMT"/>
        </w:rPr>
        <w:tab/>
      </w:r>
      <w:r w:rsidR="00EE339E">
        <w:rPr>
          <w:rFonts w:ascii="ArialMT" w:hAnsi="ArialMT" w:cs="ArialMT"/>
        </w:rPr>
        <w:tab/>
      </w:r>
      <w:r>
        <w:rPr>
          <w:rFonts w:ascii="ArialMT" w:hAnsi="ArialMT" w:cs="ArialMT"/>
        </w:rPr>
        <w:t xml:space="preserve">41 </w:t>
      </w:r>
      <w:r w:rsidR="00EE339E">
        <w:rPr>
          <w:rFonts w:ascii="ArialMT" w:hAnsi="ArialMT" w:cs="ArialMT"/>
        </w:rPr>
        <w:tab/>
      </w:r>
      <w:r>
        <w:rPr>
          <w:rFonts w:ascii="ArialMT" w:hAnsi="ArialMT" w:cs="ArialMT"/>
        </w:rPr>
        <w:t>49</w:t>
      </w:r>
    </w:p>
    <w:p w:rsidR="00EE339E" w:rsidRDefault="00EE339E" w:rsidP="002A433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:rsidR="00EE339E" w:rsidRDefault="00EE339E" w:rsidP="00EE339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Table S9: Clinical features of 58 human metastasis tissue samples</w:t>
      </w:r>
    </w:p>
    <w:p w:rsidR="00EE339E" w:rsidRDefault="00EE339E" w:rsidP="00EE339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 xml:space="preserve">Primary </w:t>
      </w:r>
      <w:proofErr w:type="gramStart"/>
      <w:r>
        <w:rPr>
          <w:rFonts w:ascii="ArialMT" w:hAnsi="ArialMT" w:cs="ArialMT"/>
          <w:sz w:val="20"/>
          <w:szCs w:val="20"/>
        </w:rPr>
        <w:t>tumor  ER</w:t>
      </w:r>
      <w:proofErr w:type="gramEnd"/>
      <w:r>
        <w:rPr>
          <w:rFonts w:ascii="ArialMT" w:hAnsi="ArialMT" w:cs="ArialMT"/>
          <w:sz w:val="20"/>
          <w:szCs w:val="20"/>
        </w:rPr>
        <w:t xml:space="preserve"> </w:t>
      </w:r>
      <w:proofErr w:type="spellStart"/>
      <w:r>
        <w:rPr>
          <w:rFonts w:ascii="ArialMT" w:hAnsi="ArialMT" w:cs="ArialMT"/>
          <w:sz w:val="20"/>
          <w:szCs w:val="20"/>
        </w:rPr>
        <w:t>staus</w:t>
      </w:r>
      <w:proofErr w:type="spellEnd"/>
      <w:r>
        <w:rPr>
          <w:rFonts w:ascii="ArialMT" w:hAnsi="ArialMT" w:cs="ArialMT"/>
          <w:sz w:val="20"/>
          <w:szCs w:val="20"/>
        </w:rPr>
        <w:t xml:space="preserve"> </w:t>
      </w:r>
      <w:r>
        <w:rPr>
          <w:rFonts w:ascii="ArialMT" w:hAnsi="ArialMT" w:cs="ArialMT"/>
          <w:sz w:val="20"/>
          <w:szCs w:val="20"/>
        </w:rPr>
        <w:tab/>
        <w:t>Site of Metastasis (bone, brain, lung or liver)</w:t>
      </w:r>
    </w:p>
    <w:p w:rsidR="00EE339E" w:rsidRDefault="00EE339E" w:rsidP="00EE339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</w:p>
    <w:p w:rsidR="004465D7" w:rsidRDefault="004465D7" w:rsidP="00EE339E">
      <w:pPr>
        <w:rPr>
          <w:rFonts w:ascii="Arial" w:hAnsi="Arial" w:cs="Arial"/>
          <w:sz w:val="24"/>
          <w:szCs w:val="24"/>
        </w:rPr>
      </w:pPr>
    </w:p>
    <w:p w:rsidR="004465D7" w:rsidRDefault="00FA3C1F" w:rsidP="00EE339E">
      <w:pPr>
        <w:rPr>
          <w:rFonts w:ascii="Arial" w:hAnsi="Arial" w:cs="Arial"/>
          <w:sz w:val="24"/>
          <w:szCs w:val="24"/>
        </w:rPr>
      </w:pPr>
      <w:hyperlink r:id="rId9" w:history="1">
        <w:r w:rsidR="004465D7" w:rsidRPr="00A34C95">
          <w:rPr>
            <w:rStyle w:val="a3"/>
            <w:rFonts w:ascii="Arial" w:hAnsi="Arial" w:cs="Arial"/>
            <w:sz w:val="24"/>
            <w:szCs w:val="24"/>
          </w:rPr>
          <w:t>https://www.ncbi.nlm.nih.gov/pubmed/15721472</w:t>
        </w:r>
      </w:hyperlink>
    </w:p>
    <w:p w:rsidR="00EE339E" w:rsidRDefault="00EE339E" w:rsidP="00EE339E">
      <w:pPr>
        <w:rPr>
          <w:rFonts w:ascii="Arial" w:hAnsi="Arial" w:cs="Arial"/>
          <w:sz w:val="24"/>
          <w:szCs w:val="24"/>
        </w:rPr>
      </w:pPr>
      <w:r w:rsidRPr="00EE339E">
        <w:rPr>
          <w:rFonts w:ascii="Arial" w:hAnsi="Arial" w:cs="Arial"/>
          <w:sz w:val="24"/>
          <w:szCs w:val="24"/>
        </w:rPr>
        <w:t>Lymph-node negative relapse free patients and 106 lymph-node negat</w:t>
      </w:r>
      <w:r w:rsidR="00270E0A">
        <w:rPr>
          <w:rFonts w:ascii="Arial" w:hAnsi="Arial" w:cs="Arial"/>
          <w:sz w:val="24"/>
          <w:szCs w:val="24"/>
        </w:rPr>
        <w:t>ive</w:t>
      </w:r>
      <w:r w:rsidRPr="00EE339E">
        <w:rPr>
          <w:rFonts w:ascii="Arial" w:hAnsi="Arial" w:cs="Arial"/>
          <w:sz w:val="24"/>
          <w:szCs w:val="24"/>
        </w:rPr>
        <w:t xml:space="preserve"> patients</w:t>
      </w:r>
    </w:p>
    <w:p w:rsidR="004465D7" w:rsidRDefault="004465D7" w:rsidP="00EE33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84 </w:t>
      </w:r>
      <w:r w:rsidRPr="004465D7">
        <w:rPr>
          <w:rFonts w:ascii="Arial" w:hAnsi="Arial" w:cs="Arial"/>
          <w:sz w:val="24"/>
          <w:szCs w:val="24"/>
        </w:rPr>
        <w:t xml:space="preserve">premenopausal patients (9.60 [2.28-40.5]), 87 postmenopausal </w:t>
      </w:r>
      <w:proofErr w:type="gramStart"/>
      <w:r w:rsidRPr="004465D7">
        <w:rPr>
          <w:rFonts w:ascii="Arial" w:hAnsi="Arial" w:cs="Arial"/>
          <w:sz w:val="24"/>
          <w:szCs w:val="24"/>
        </w:rPr>
        <w:t>patients</w:t>
      </w:r>
      <w:proofErr w:type="gramEnd"/>
      <w:r w:rsidRPr="004465D7">
        <w:t xml:space="preserve"> </w:t>
      </w:r>
      <w:r w:rsidRPr="004465D7">
        <w:rPr>
          <w:rFonts w:ascii="Arial" w:hAnsi="Arial" w:cs="Arial"/>
          <w:sz w:val="24"/>
          <w:szCs w:val="24"/>
        </w:rPr>
        <w:t>samples from 286 lymph-node-negative patients who had not received adjuvant systemic treatment</w:t>
      </w:r>
      <w:r>
        <w:rPr>
          <w:rFonts w:ascii="Arial" w:hAnsi="Arial" w:cs="Arial"/>
          <w:sz w:val="24"/>
          <w:szCs w:val="24"/>
        </w:rPr>
        <w:t>.</w:t>
      </w:r>
    </w:p>
    <w:p w:rsidR="004465D7" w:rsidRPr="00CF7BDC" w:rsidRDefault="00270E0A" w:rsidP="00EE339E">
      <w:pPr>
        <w:rPr>
          <w:rFonts w:ascii="Arial" w:hAnsi="Arial" w:cs="Arial"/>
          <w:color w:val="984806" w:themeColor="accent6" w:themeShade="80"/>
          <w:sz w:val="24"/>
          <w:szCs w:val="24"/>
        </w:rPr>
      </w:pPr>
      <w:r w:rsidRPr="00CF7BDC">
        <w:rPr>
          <w:rFonts w:ascii="Arial" w:hAnsi="Arial" w:cs="Arial"/>
          <w:color w:val="984806" w:themeColor="accent6" w:themeShade="80"/>
          <w:sz w:val="24"/>
          <w:szCs w:val="24"/>
        </w:rPr>
        <w:lastRenderedPageBreak/>
        <w:t>For</w:t>
      </w:r>
      <w:r w:rsidR="004465D7" w:rsidRPr="00CF7BDC">
        <w:rPr>
          <w:rFonts w:ascii="Arial" w:hAnsi="Arial" w:cs="Arial"/>
          <w:color w:val="984806" w:themeColor="accent6" w:themeShade="80"/>
          <w:sz w:val="24"/>
          <w:szCs w:val="24"/>
        </w:rPr>
        <w:t xml:space="preserve"> 615 patients</w:t>
      </w:r>
      <w:r w:rsidRPr="00CF7BDC">
        <w:rPr>
          <w:rFonts w:ascii="Arial" w:hAnsi="Arial" w:cs="Arial"/>
          <w:color w:val="984806" w:themeColor="accent6" w:themeShade="80"/>
          <w:sz w:val="24"/>
          <w:szCs w:val="24"/>
        </w:rPr>
        <w:t xml:space="preserve"> cases, </w:t>
      </w:r>
      <w:r w:rsidR="004465D7" w:rsidRPr="00CF7BDC">
        <w:rPr>
          <w:rFonts w:ascii="Arial" w:hAnsi="Arial" w:cs="Arial"/>
          <w:color w:val="984806" w:themeColor="accent6" w:themeShade="80"/>
          <w:sz w:val="24"/>
          <w:szCs w:val="24"/>
        </w:rPr>
        <w:t xml:space="preserve"> Banjo network analysis could be done based on </w:t>
      </w:r>
      <w:r w:rsidRPr="00CF7BDC">
        <w:rPr>
          <w:rFonts w:ascii="Arial" w:hAnsi="Arial" w:cs="Arial"/>
          <w:color w:val="984806" w:themeColor="accent6" w:themeShade="80"/>
          <w:sz w:val="24"/>
          <w:szCs w:val="24"/>
        </w:rPr>
        <w:t xml:space="preserve">top 200 </w:t>
      </w:r>
      <w:r w:rsidR="004465D7" w:rsidRPr="00CF7BDC">
        <w:rPr>
          <w:rFonts w:ascii="Arial" w:hAnsi="Arial" w:cs="Arial"/>
          <w:color w:val="984806" w:themeColor="accent6" w:themeShade="80"/>
          <w:sz w:val="24"/>
          <w:szCs w:val="24"/>
        </w:rPr>
        <w:t>differentially expressed</w:t>
      </w:r>
      <w:r w:rsidRPr="00CF7BDC">
        <w:rPr>
          <w:rFonts w:ascii="Arial" w:hAnsi="Arial" w:cs="Arial"/>
          <w:color w:val="984806" w:themeColor="accent6" w:themeShade="80"/>
          <w:sz w:val="24"/>
          <w:szCs w:val="24"/>
        </w:rPr>
        <w:t xml:space="preserve"> genes, including NRF1, MYC, E2F4</w:t>
      </w:r>
      <w:r w:rsidR="004465D7" w:rsidRPr="00CF7BDC">
        <w:rPr>
          <w:rFonts w:ascii="Arial" w:hAnsi="Arial" w:cs="Arial"/>
          <w:color w:val="984806" w:themeColor="accent6" w:themeShade="80"/>
          <w:sz w:val="24"/>
          <w:szCs w:val="24"/>
        </w:rPr>
        <w:t xml:space="preserve"> between breast cancer patients with metastasis in bone</w:t>
      </w:r>
      <w:r w:rsidRPr="00CF7BDC">
        <w:rPr>
          <w:rFonts w:ascii="Arial" w:hAnsi="Arial" w:cs="Arial"/>
          <w:color w:val="984806" w:themeColor="accent6" w:themeShade="80"/>
          <w:sz w:val="24"/>
          <w:szCs w:val="24"/>
        </w:rPr>
        <w:t>, brain or lung</w:t>
      </w:r>
      <w:r w:rsidR="004465D7" w:rsidRPr="00CF7BDC">
        <w:rPr>
          <w:rFonts w:ascii="Arial" w:hAnsi="Arial" w:cs="Arial"/>
          <w:color w:val="984806" w:themeColor="accent6" w:themeShade="80"/>
          <w:sz w:val="24"/>
          <w:szCs w:val="24"/>
        </w:rPr>
        <w:t xml:space="preserve"> and non-</w:t>
      </w:r>
      <w:r w:rsidRPr="00CF7BDC">
        <w:rPr>
          <w:rFonts w:ascii="Arial" w:hAnsi="Arial" w:cs="Arial"/>
          <w:i/>
          <w:color w:val="984806" w:themeColor="accent6" w:themeShade="80"/>
          <w:sz w:val="24"/>
          <w:szCs w:val="24"/>
        </w:rPr>
        <w:t xml:space="preserve">metastasis breast tumor (primary breast tumor) </w:t>
      </w:r>
      <w:r w:rsidR="004465D7" w:rsidRPr="00CF7BDC">
        <w:rPr>
          <w:rFonts w:ascii="Arial" w:hAnsi="Arial" w:cs="Arial"/>
          <w:i/>
          <w:color w:val="984806" w:themeColor="accent6" w:themeShade="80"/>
          <w:sz w:val="24"/>
          <w:szCs w:val="24"/>
        </w:rPr>
        <w:t>incorporating all Clinicopathology chara</w:t>
      </w:r>
      <w:r w:rsidR="004465D7" w:rsidRPr="00CF7BDC">
        <w:rPr>
          <w:rFonts w:ascii="Arial" w:hAnsi="Arial" w:cs="Arial"/>
          <w:color w:val="984806" w:themeColor="accent6" w:themeShade="80"/>
          <w:sz w:val="24"/>
          <w:szCs w:val="24"/>
        </w:rPr>
        <w:t>cteristics</w:t>
      </w:r>
      <w:r w:rsidRPr="00CF7BDC">
        <w:rPr>
          <w:rFonts w:ascii="Arial" w:hAnsi="Arial" w:cs="Arial"/>
          <w:color w:val="984806" w:themeColor="accent6" w:themeShade="80"/>
          <w:sz w:val="24"/>
          <w:szCs w:val="24"/>
        </w:rPr>
        <w:t xml:space="preserve">, such as ER, PR and Her2  status, </w:t>
      </w:r>
      <w:r w:rsidR="004465D7" w:rsidRPr="00CF7BDC">
        <w:rPr>
          <w:rFonts w:ascii="Arial" w:hAnsi="Arial" w:cs="Arial"/>
          <w:color w:val="984806" w:themeColor="accent6" w:themeShade="80"/>
          <w:sz w:val="24"/>
          <w:szCs w:val="24"/>
        </w:rPr>
        <w:t xml:space="preserve"> </w:t>
      </w:r>
      <w:r w:rsidRPr="00CF7BDC">
        <w:rPr>
          <w:rFonts w:ascii="Arial" w:hAnsi="Arial" w:cs="Arial"/>
          <w:color w:val="984806" w:themeColor="accent6" w:themeShade="80"/>
          <w:sz w:val="24"/>
          <w:szCs w:val="24"/>
        </w:rPr>
        <w:t>premenopausal and postmenopausal status, lymph-node-negative or positive status,  Adjuvant chemotherapy, Adjuvant hormone therapy.</w:t>
      </w:r>
      <w:r w:rsidR="00CF7BDC" w:rsidRPr="00CF7BDC">
        <w:rPr>
          <w:rFonts w:ascii="Arial" w:hAnsi="Arial" w:cs="Arial"/>
          <w:color w:val="984806" w:themeColor="accent6" w:themeShade="80"/>
          <w:sz w:val="24"/>
          <w:szCs w:val="24"/>
        </w:rPr>
        <w:t xml:space="preserve"> A Table needs to be created for 615 patients incorporating all these Clinicopathology characteristics.</w:t>
      </w:r>
    </w:p>
    <w:p w:rsidR="00CF7BDC" w:rsidRPr="00CF7BDC" w:rsidRDefault="00CF7BDC" w:rsidP="00EE339E">
      <w:pPr>
        <w:rPr>
          <w:rFonts w:ascii="Arial" w:hAnsi="Arial" w:cs="Arial"/>
          <w:color w:val="984806" w:themeColor="accent6" w:themeShade="80"/>
          <w:sz w:val="24"/>
          <w:szCs w:val="24"/>
        </w:rPr>
      </w:pPr>
      <w:r w:rsidRPr="00CF7BDC">
        <w:rPr>
          <w:rFonts w:ascii="Arial" w:hAnsi="Arial" w:cs="Arial"/>
          <w:color w:val="984806" w:themeColor="accent6" w:themeShade="80"/>
          <w:sz w:val="24"/>
          <w:szCs w:val="24"/>
        </w:rPr>
        <w:t>Examples of Banjo Analyses groups</w:t>
      </w:r>
    </w:p>
    <w:p w:rsidR="00CF7BDC" w:rsidRPr="00CF7BDC" w:rsidRDefault="00CF7BDC" w:rsidP="00270E0A">
      <w:pPr>
        <w:pStyle w:val="a4"/>
        <w:numPr>
          <w:ilvl w:val="0"/>
          <w:numId w:val="1"/>
        </w:numPr>
        <w:rPr>
          <w:rFonts w:ascii="Arial" w:hAnsi="Arial" w:cs="Arial"/>
          <w:color w:val="984806" w:themeColor="accent6" w:themeShade="80"/>
          <w:sz w:val="24"/>
          <w:szCs w:val="24"/>
        </w:rPr>
      </w:pPr>
      <w:r w:rsidRPr="00CF7BDC">
        <w:rPr>
          <w:rFonts w:ascii="Arial" w:hAnsi="Arial" w:cs="Arial"/>
          <w:color w:val="984806" w:themeColor="accent6" w:themeShade="80"/>
          <w:sz w:val="24"/>
          <w:szCs w:val="24"/>
        </w:rPr>
        <w:t>B</w:t>
      </w:r>
      <w:r w:rsidR="00270E0A" w:rsidRPr="00CF7BDC">
        <w:rPr>
          <w:rFonts w:ascii="Arial" w:hAnsi="Arial" w:cs="Arial"/>
          <w:color w:val="984806" w:themeColor="accent6" w:themeShade="80"/>
          <w:sz w:val="24"/>
          <w:szCs w:val="24"/>
        </w:rPr>
        <w:t>reast cancer patients and  metastasis in bone</w:t>
      </w:r>
      <w:r w:rsidRPr="00CF7BDC">
        <w:rPr>
          <w:rFonts w:ascii="Arial" w:hAnsi="Arial" w:cs="Arial"/>
          <w:color w:val="984806" w:themeColor="accent6" w:themeShade="80"/>
          <w:sz w:val="24"/>
          <w:szCs w:val="24"/>
        </w:rPr>
        <w:t xml:space="preserve"> incorporating all Clinicopathology characteristics</w:t>
      </w:r>
    </w:p>
    <w:p w:rsidR="00CF7BDC" w:rsidRPr="00CF7BDC" w:rsidRDefault="00CF7BDC" w:rsidP="00270E0A">
      <w:pPr>
        <w:pStyle w:val="a4"/>
        <w:numPr>
          <w:ilvl w:val="0"/>
          <w:numId w:val="1"/>
        </w:numPr>
        <w:rPr>
          <w:rFonts w:ascii="Arial" w:hAnsi="Arial" w:cs="Arial"/>
          <w:color w:val="984806" w:themeColor="accent6" w:themeShade="80"/>
          <w:sz w:val="24"/>
          <w:szCs w:val="24"/>
        </w:rPr>
      </w:pPr>
      <w:r w:rsidRPr="00CF7BDC">
        <w:rPr>
          <w:rFonts w:ascii="Arial" w:hAnsi="Arial" w:cs="Arial"/>
          <w:color w:val="984806" w:themeColor="accent6" w:themeShade="80"/>
          <w:sz w:val="24"/>
          <w:szCs w:val="24"/>
        </w:rPr>
        <w:t>B</w:t>
      </w:r>
      <w:r w:rsidR="00270E0A" w:rsidRPr="00CF7BDC">
        <w:rPr>
          <w:rFonts w:ascii="Arial" w:hAnsi="Arial" w:cs="Arial"/>
          <w:color w:val="984806" w:themeColor="accent6" w:themeShade="80"/>
          <w:sz w:val="24"/>
          <w:szCs w:val="24"/>
        </w:rPr>
        <w:t xml:space="preserve">reast cancer patients and  metastasis in brain </w:t>
      </w:r>
      <w:r w:rsidRPr="00CF7BDC">
        <w:rPr>
          <w:rFonts w:ascii="Arial" w:hAnsi="Arial" w:cs="Arial"/>
          <w:color w:val="984806" w:themeColor="accent6" w:themeShade="80"/>
          <w:sz w:val="24"/>
          <w:szCs w:val="24"/>
        </w:rPr>
        <w:t xml:space="preserve"> incorporating all Clinicopathology characteristics</w:t>
      </w:r>
    </w:p>
    <w:p w:rsidR="00CF7BDC" w:rsidRPr="00CF7BDC" w:rsidRDefault="00CF7BDC" w:rsidP="00270E0A">
      <w:pPr>
        <w:pStyle w:val="a4"/>
        <w:numPr>
          <w:ilvl w:val="0"/>
          <w:numId w:val="1"/>
        </w:numPr>
        <w:rPr>
          <w:rFonts w:ascii="Arial" w:hAnsi="Arial" w:cs="Arial"/>
          <w:color w:val="984806" w:themeColor="accent6" w:themeShade="80"/>
          <w:sz w:val="24"/>
          <w:szCs w:val="24"/>
        </w:rPr>
      </w:pPr>
      <w:r w:rsidRPr="00CF7BDC">
        <w:rPr>
          <w:rFonts w:ascii="Arial" w:hAnsi="Arial" w:cs="Arial"/>
          <w:color w:val="984806" w:themeColor="accent6" w:themeShade="80"/>
          <w:sz w:val="24"/>
          <w:szCs w:val="24"/>
        </w:rPr>
        <w:t>B</w:t>
      </w:r>
      <w:r w:rsidR="00270E0A" w:rsidRPr="00CF7BDC">
        <w:rPr>
          <w:rFonts w:ascii="Arial" w:hAnsi="Arial" w:cs="Arial"/>
          <w:color w:val="984806" w:themeColor="accent6" w:themeShade="80"/>
          <w:sz w:val="24"/>
          <w:szCs w:val="24"/>
        </w:rPr>
        <w:t>reast cancer patients and  metastasis lung</w:t>
      </w:r>
      <w:r w:rsidRPr="00CF7BDC">
        <w:rPr>
          <w:color w:val="984806" w:themeColor="accent6" w:themeShade="80"/>
        </w:rPr>
        <w:t xml:space="preserve"> </w:t>
      </w:r>
      <w:r w:rsidRPr="00CF7BDC">
        <w:rPr>
          <w:rFonts w:ascii="Arial" w:hAnsi="Arial" w:cs="Arial"/>
          <w:color w:val="984806" w:themeColor="accent6" w:themeShade="80"/>
          <w:sz w:val="24"/>
          <w:szCs w:val="24"/>
        </w:rPr>
        <w:t>incorporating all Clinicopathology characteristics</w:t>
      </w:r>
    </w:p>
    <w:p w:rsidR="00CF7BDC" w:rsidRPr="00CF7BDC" w:rsidRDefault="00CF7BDC" w:rsidP="00270E0A">
      <w:pPr>
        <w:pStyle w:val="a4"/>
        <w:numPr>
          <w:ilvl w:val="0"/>
          <w:numId w:val="1"/>
        </w:numPr>
        <w:rPr>
          <w:rFonts w:ascii="Arial" w:hAnsi="Arial" w:cs="Arial"/>
          <w:color w:val="984806" w:themeColor="accent6" w:themeShade="80"/>
          <w:sz w:val="24"/>
          <w:szCs w:val="24"/>
        </w:rPr>
      </w:pPr>
      <w:r w:rsidRPr="00CF7BDC">
        <w:rPr>
          <w:rFonts w:ascii="Arial" w:hAnsi="Arial" w:cs="Arial"/>
          <w:color w:val="984806" w:themeColor="accent6" w:themeShade="80"/>
          <w:sz w:val="24"/>
          <w:szCs w:val="24"/>
        </w:rPr>
        <w:t>Breast cancer patients and  metastasis in bone, brain or lung incorporating all Clinicopathology characteristics</w:t>
      </w:r>
    </w:p>
    <w:p w:rsidR="00270E0A" w:rsidRPr="00EE339E" w:rsidRDefault="00270E0A" w:rsidP="00EE339E">
      <w:pPr>
        <w:rPr>
          <w:rFonts w:ascii="Arial" w:hAnsi="Arial" w:cs="Arial"/>
          <w:sz w:val="24"/>
          <w:szCs w:val="24"/>
        </w:rPr>
      </w:pPr>
    </w:p>
    <w:sectPr w:rsidR="00270E0A" w:rsidRPr="00EE33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xusSans">
    <w:altName w:val="Times New Roman"/>
    <w:charset w:val="00"/>
    <w:family w:val="auto"/>
    <w:pitch w:val="default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57196C"/>
    <w:multiLevelType w:val="hybridMultilevel"/>
    <w:tmpl w:val="D92E649C"/>
    <w:lvl w:ilvl="0" w:tplc="9F8A233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825"/>
    <w:rsid w:val="000D01BD"/>
    <w:rsid w:val="000E5825"/>
    <w:rsid w:val="00270E0A"/>
    <w:rsid w:val="002A4335"/>
    <w:rsid w:val="004465D7"/>
    <w:rsid w:val="0081300E"/>
    <w:rsid w:val="0084699B"/>
    <w:rsid w:val="00CF7BDC"/>
    <w:rsid w:val="00EE339E"/>
    <w:rsid w:val="00FA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29A8B5-47E6-4163-BD30-54EB40B30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582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F7B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7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61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9813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7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83005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271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710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576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702869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single" w:sz="12" w:space="0" w:color="EBEBEB"/>
                                            <w:left w:val="none" w:sz="0" w:space="0" w:color="auto"/>
                                            <w:bottom w:val="single" w:sz="12" w:space="0" w:color="EBEBEB"/>
                                            <w:right w:val="none" w:sz="0" w:space="0" w:color="auto"/>
                                          </w:divBdr>
                                          <w:divsChild>
                                            <w:div w:id="1442994010">
                                              <w:marLeft w:val="360"/>
                                              <w:marRight w:val="36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7093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topics/medicine-and-dentistry/triple-negative-breast-cance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ciencedirect.com/topics/medicine-and-dentistry/breast-canc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ciencedirect.com/topics/medicine-and-dentistry/immunohistochemistry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sciencedirect.com/science/article/pii/S152682091730777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ncbi.nlm.nih.gov/pubmed/157214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769</Words>
  <Characters>4389</Characters>
  <Application>Microsoft Office Word</Application>
  <DocSecurity>0</DocSecurity>
  <Lines>36</Lines>
  <Paragraphs>10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Deodutta</dc:creator>
  <cp:lastModifiedBy>USER</cp:lastModifiedBy>
  <cp:revision>2</cp:revision>
  <dcterms:created xsi:type="dcterms:W3CDTF">2018-08-12T13:06:00Z</dcterms:created>
  <dcterms:modified xsi:type="dcterms:W3CDTF">2018-08-12T13:06:00Z</dcterms:modified>
</cp:coreProperties>
</file>