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C00" w:rsidRDefault="00382C00" w:rsidP="00FB266A">
      <w:pPr>
        <w:pStyle w:val="a4"/>
        <w:spacing w:line="360" w:lineRule="auto"/>
        <w:jc w:val="left"/>
        <w:rPr>
          <w:rFonts w:ascii="Times New Roman" w:hAnsi="Times New Roman" w:cs="Times New Roman"/>
          <w:b/>
          <w:sz w:val="24"/>
          <w:szCs w:val="24"/>
        </w:rPr>
      </w:pPr>
      <w:bookmarkStart w:id="0" w:name="_GoBack"/>
      <w:bookmarkEnd w:id="0"/>
      <w:r>
        <w:rPr>
          <w:rFonts w:ascii="Times New Roman" w:hAnsi="Times New Roman" w:cs="Times New Roman" w:hint="eastAsia"/>
          <w:b/>
          <w:sz w:val="24"/>
          <w:szCs w:val="24"/>
        </w:rPr>
        <w:t>[R</w:t>
      </w:r>
      <w:r>
        <w:rPr>
          <w:rFonts w:ascii="Times New Roman" w:hAnsi="Times New Roman" w:cs="Times New Roman"/>
          <w:b/>
          <w:sz w:val="24"/>
          <w:szCs w:val="24"/>
        </w:rPr>
        <w:t>D studies]</w:t>
      </w:r>
    </w:p>
    <w:p w:rsidR="00382C00" w:rsidRDefault="00382C00" w:rsidP="00FB266A">
      <w:pPr>
        <w:pStyle w:val="a4"/>
        <w:spacing w:line="360" w:lineRule="auto"/>
        <w:jc w:val="left"/>
        <w:rPr>
          <w:rFonts w:ascii="Times New Roman" w:hAnsi="Times New Roman" w:cs="Times New Roman"/>
          <w:b/>
          <w:sz w:val="24"/>
          <w:szCs w:val="24"/>
        </w:rPr>
      </w:pPr>
    </w:p>
    <w:p w:rsidR="00FB266A" w:rsidRPr="00D74A48" w:rsidRDefault="00FB266A" w:rsidP="00FB266A">
      <w:pPr>
        <w:pStyle w:val="a4"/>
        <w:spacing w:line="360" w:lineRule="auto"/>
        <w:jc w:val="center"/>
        <w:rPr>
          <w:rFonts w:ascii="Times New Roman" w:hAnsi="Times New Roman" w:cs="Times New Roman"/>
          <w:b/>
          <w:sz w:val="24"/>
          <w:szCs w:val="24"/>
        </w:rPr>
      </w:pPr>
      <w:r w:rsidRPr="00D74A48">
        <w:rPr>
          <w:rFonts w:ascii="Times New Roman" w:hAnsi="Times New Roman" w:cs="Times New Roman"/>
          <w:b/>
          <w:sz w:val="24"/>
          <w:szCs w:val="24"/>
        </w:rPr>
        <w:t>Clinical variables associated with failure of rhegmatogenous retinal detachment repair using Causal Bayesian Networks</w:t>
      </w:r>
    </w:p>
    <w:p w:rsidR="00FB266A" w:rsidRDefault="00FB266A" w:rsidP="00FB266A">
      <w:pPr>
        <w:pStyle w:val="a4"/>
        <w:spacing w:line="360" w:lineRule="auto"/>
        <w:jc w:val="left"/>
        <w:rPr>
          <w:rFonts w:ascii="Times New Roman" w:hAnsi="Times New Roman" w:cs="Times New Roman"/>
          <w:sz w:val="24"/>
          <w:szCs w:val="24"/>
        </w:rPr>
      </w:pPr>
    </w:p>
    <w:p w:rsidR="00382C00" w:rsidRDefault="00FB266A" w:rsidP="00FB266A">
      <w:pPr>
        <w:pStyle w:val="a4"/>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 </w:t>
      </w:r>
    </w:p>
    <w:p w:rsidR="006043D6" w:rsidRPr="006043D6" w:rsidRDefault="00786E61" w:rsidP="006043D6">
      <w:pPr>
        <w:pStyle w:val="a4"/>
        <w:spacing w:line="360" w:lineRule="auto"/>
        <w:jc w:val="center"/>
        <w:rPr>
          <w:rFonts w:ascii="Times New Roman" w:hAnsi="Times New Roman" w:cs="Times New Roman"/>
          <w:sz w:val="24"/>
          <w:szCs w:val="24"/>
          <w:vertAlign w:val="superscript"/>
        </w:rPr>
      </w:pPr>
      <w:r>
        <w:rPr>
          <w:rFonts w:ascii="Times New Roman" w:hAnsi="Times New Roman" w:cs="Times New Roman"/>
          <w:sz w:val="24"/>
          <w:szCs w:val="24"/>
        </w:rPr>
        <w:t xml:space="preserve">Daniel </w:t>
      </w:r>
      <w:r w:rsidR="006043D6" w:rsidRPr="006043D6">
        <w:rPr>
          <w:rFonts w:ascii="Times New Roman" w:hAnsi="Times New Roman" w:cs="Times New Roman"/>
          <w:sz w:val="24"/>
          <w:szCs w:val="24"/>
        </w:rPr>
        <w:t>Duck</w:t>
      </w:r>
      <w:r w:rsidR="00111171">
        <w:rPr>
          <w:rFonts w:ascii="Times New Roman" w:hAnsi="Times New Roman" w:cs="Times New Roman"/>
          <w:sz w:val="24"/>
          <w:szCs w:val="24"/>
        </w:rPr>
        <w:t>j</w:t>
      </w:r>
      <w:r w:rsidR="006043D6" w:rsidRPr="006043D6">
        <w:rPr>
          <w:rFonts w:ascii="Times New Roman" w:hAnsi="Times New Roman" w:cs="Times New Roman"/>
          <w:sz w:val="24"/>
          <w:szCs w:val="24"/>
        </w:rPr>
        <w:t>in Hwang</w:t>
      </w:r>
      <w:r w:rsidR="006043D6" w:rsidRPr="006043D6">
        <w:rPr>
          <w:rFonts w:ascii="Times New Roman" w:hAnsi="Times New Roman" w:cs="Times New Roman"/>
          <w:sz w:val="24"/>
          <w:szCs w:val="24"/>
          <w:vertAlign w:val="superscript"/>
        </w:rPr>
        <w:t>1,2,3</w:t>
      </w:r>
    </w:p>
    <w:p w:rsidR="006043D6" w:rsidRPr="006043D6" w:rsidRDefault="006043D6" w:rsidP="006043D6">
      <w:pPr>
        <w:pStyle w:val="a4"/>
        <w:spacing w:line="360" w:lineRule="auto"/>
        <w:jc w:val="left"/>
        <w:rPr>
          <w:rFonts w:ascii="Times New Roman" w:hAnsi="Times New Roman" w:cs="Times New Roman"/>
          <w:sz w:val="24"/>
          <w:szCs w:val="24"/>
        </w:rPr>
      </w:pPr>
    </w:p>
    <w:p w:rsidR="006043D6" w:rsidRPr="006043D6" w:rsidRDefault="006043D6" w:rsidP="006043D6">
      <w:pPr>
        <w:pStyle w:val="a4"/>
        <w:spacing w:line="360" w:lineRule="auto"/>
        <w:jc w:val="left"/>
        <w:rPr>
          <w:rFonts w:ascii="Times New Roman" w:hAnsi="Times New Roman" w:cs="Times New Roman"/>
          <w:sz w:val="24"/>
          <w:szCs w:val="24"/>
        </w:rPr>
      </w:pPr>
      <w:r>
        <w:rPr>
          <w:rFonts w:ascii="Times New Roman" w:hAnsi="Times New Roman" w:cs="Times New Roman"/>
          <w:sz w:val="24"/>
          <w:szCs w:val="24"/>
          <w:vertAlign w:val="superscript"/>
        </w:rPr>
        <w:t>1</w:t>
      </w:r>
      <w:r w:rsidRPr="006043D6">
        <w:rPr>
          <w:rFonts w:ascii="Times New Roman" w:hAnsi="Times New Roman" w:cs="Times New Roman"/>
          <w:sz w:val="24"/>
          <w:szCs w:val="24"/>
        </w:rPr>
        <w:t xml:space="preserve">Department of Biostatistics, Robert Stempel College of Public Health and Social Work, Florida International University, Miami, FL, USA. </w:t>
      </w:r>
    </w:p>
    <w:p w:rsidR="006043D6" w:rsidRPr="006043D6" w:rsidRDefault="006043D6" w:rsidP="006043D6">
      <w:pPr>
        <w:pStyle w:val="a4"/>
        <w:spacing w:line="360" w:lineRule="auto"/>
        <w:jc w:val="left"/>
        <w:rPr>
          <w:rFonts w:ascii="Times New Roman" w:hAnsi="Times New Roman" w:cs="Times New Roman"/>
          <w:sz w:val="24"/>
          <w:szCs w:val="24"/>
        </w:rPr>
      </w:pPr>
      <w:r>
        <w:rPr>
          <w:rFonts w:ascii="Times New Roman" w:hAnsi="Times New Roman" w:cs="Times New Roman"/>
          <w:sz w:val="24"/>
          <w:szCs w:val="24"/>
          <w:vertAlign w:val="superscript"/>
        </w:rPr>
        <w:t>2</w:t>
      </w:r>
      <w:r w:rsidRPr="006043D6">
        <w:rPr>
          <w:rFonts w:ascii="Times New Roman" w:hAnsi="Times New Roman" w:cs="Times New Roman"/>
          <w:sz w:val="24"/>
          <w:szCs w:val="24"/>
        </w:rPr>
        <w:t>Department of Ophthalmology, HanGil Eye Hospital, Incheon, Korea.</w:t>
      </w:r>
    </w:p>
    <w:p w:rsidR="00DB66E8" w:rsidRDefault="006043D6" w:rsidP="006043D6">
      <w:pPr>
        <w:pStyle w:val="a4"/>
        <w:spacing w:line="360" w:lineRule="auto"/>
        <w:jc w:val="left"/>
        <w:rPr>
          <w:rFonts w:ascii="Times New Roman" w:hAnsi="Times New Roman" w:cs="Times New Roman"/>
          <w:sz w:val="24"/>
          <w:szCs w:val="24"/>
        </w:rPr>
      </w:pPr>
      <w:r w:rsidRPr="006043D6">
        <w:rPr>
          <w:rFonts w:ascii="Times New Roman" w:hAnsi="Times New Roman" w:cs="Times New Roman"/>
          <w:sz w:val="24"/>
          <w:szCs w:val="24"/>
          <w:vertAlign w:val="superscript"/>
        </w:rPr>
        <w:t>3</w:t>
      </w:r>
      <w:r w:rsidRPr="006043D6">
        <w:rPr>
          <w:rFonts w:ascii="Times New Roman" w:hAnsi="Times New Roman" w:cs="Times New Roman"/>
          <w:sz w:val="24"/>
          <w:szCs w:val="24"/>
        </w:rPr>
        <w:t>Department of Ophthalmology, Catholic Kwandong University College of Medicine, Incheon, Korea</w:t>
      </w:r>
    </w:p>
    <w:p w:rsidR="006043D6" w:rsidRDefault="006043D6" w:rsidP="006043D6">
      <w:pPr>
        <w:pStyle w:val="a4"/>
        <w:spacing w:line="360" w:lineRule="auto"/>
        <w:jc w:val="left"/>
        <w:rPr>
          <w:rFonts w:ascii="Times New Roman" w:hAnsi="Times New Roman" w:cs="Times New Roman"/>
          <w:sz w:val="24"/>
          <w:szCs w:val="24"/>
        </w:rPr>
      </w:pPr>
    </w:p>
    <w:p w:rsidR="006043D6" w:rsidRPr="006043D6" w:rsidRDefault="006043D6" w:rsidP="006043D6">
      <w:pPr>
        <w:pStyle w:val="a4"/>
        <w:spacing w:line="360" w:lineRule="auto"/>
        <w:jc w:val="left"/>
        <w:rPr>
          <w:rFonts w:ascii="Times New Roman" w:hAnsi="Times New Roman" w:cs="Times New Roman"/>
          <w:sz w:val="24"/>
          <w:szCs w:val="24"/>
        </w:rPr>
      </w:pPr>
    </w:p>
    <w:p w:rsidR="00474FC0" w:rsidRPr="00FB266A" w:rsidRDefault="00474FC0" w:rsidP="00FB266A">
      <w:pPr>
        <w:pStyle w:val="a4"/>
        <w:spacing w:line="360" w:lineRule="auto"/>
        <w:jc w:val="left"/>
        <w:rPr>
          <w:rFonts w:ascii="Times New Roman" w:hAnsi="Times New Roman" w:cs="Times New Roman"/>
          <w:b/>
          <w:sz w:val="24"/>
          <w:szCs w:val="24"/>
        </w:rPr>
      </w:pPr>
      <w:r w:rsidRPr="00FB266A">
        <w:rPr>
          <w:rFonts w:ascii="Times New Roman" w:hAnsi="Times New Roman" w:cs="Times New Roman" w:hint="eastAsia"/>
          <w:b/>
          <w:sz w:val="24"/>
          <w:szCs w:val="24"/>
        </w:rPr>
        <w:t>&lt;B</w:t>
      </w:r>
      <w:r w:rsidRPr="00FB266A">
        <w:rPr>
          <w:rFonts w:ascii="Times New Roman" w:hAnsi="Times New Roman" w:cs="Times New Roman"/>
          <w:b/>
          <w:sz w:val="24"/>
          <w:szCs w:val="24"/>
        </w:rPr>
        <w:t>ackgrounds&gt;</w:t>
      </w:r>
    </w:p>
    <w:p w:rsidR="00FB266A" w:rsidRPr="00FB266A" w:rsidRDefault="00FB266A" w:rsidP="00FB266A">
      <w:pPr>
        <w:pStyle w:val="a4"/>
        <w:spacing w:line="360" w:lineRule="auto"/>
        <w:jc w:val="left"/>
        <w:rPr>
          <w:rFonts w:ascii="Times New Roman" w:hAnsi="Times New Roman" w:cs="Times New Roman"/>
          <w:sz w:val="24"/>
          <w:szCs w:val="24"/>
        </w:rPr>
      </w:pPr>
    </w:p>
    <w:p w:rsidR="00FB266A" w:rsidRPr="00FB266A" w:rsidRDefault="002652F5" w:rsidP="00FB266A">
      <w:pPr>
        <w:pStyle w:val="a4"/>
        <w:spacing w:line="360" w:lineRule="auto"/>
        <w:jc w:val="left"/>
        <w:rPr>
          <w:rFonts w:ascii="Times New Roman" w:hAnsi="Times New Roman" w:cs="Times New Roman"/>
          <w:sz w:val="24"/>
          <w:szCs w:val="24"/>
        </w:rPr>
      </w:pPr>
      <w:r>
        <w:rPr>
          <w:rFonts w:ascii="맑은 고딕" w:eastAsia="맑은 고딕" w:hAnsi="맑은 고딕" w:cs="Times New Roman" w:hint="eastAsia"/>
          <w:sz w:val="24"/>
          <w:szCs w:val="24"/>
        </w:rPr>
        <w:t>•</w:t>
      </w:r>
      <w:r w:rsidR="00FB266A">
        <w:rPr>
          <w:rFonts w:ascii="Times New Roman" w:hAnsi="Times New Roman" w:cs="Times New Roman"/>
          <w:sz w:val="24"/>
          <w:szCs w:val="24"/>
        </w:rPr>
        <w:t xml:space="preserve"> </w:t>
      </w:r>
      <w:r w:rsidR="00FB266A" w:rsidRPr="00FB266A">
        <w:rPr>
          <w:rFonts w:ascii="Times New Roman" w:hAnsi="Times New Roman" w:cs="Times New Roman"/>
          <w:sz w:val="24"/>
          <w:szCs w:val="24"/>
        </w:rPr>
        <w:t>Number of breaks, inferior positioning of breaks, the extent of rhegmatogenous retinal detachment, and PVR are associated with failed primary surgery.</w:t>
      </w:r>
      <w:r w:rsidR="00FB266A" w:rsidRPr="00FB266A">
        <w:rPr>
          <w:rFonts w:ascii="Times New Roman" w:hAnsi="Times New Roman" w:cs="Times New Roman"/>
          <w:sz w:val="24"/>
          <w:szCs w:val="24"/>
          <w:vertAlign w:val="superscript"/>
        </w:rPr>
        <w:t>1</w:t>
      </w:r>
    </w:p>
    <w:p w:rsidR="00FB266A" w:rsidRDefault="00FB266A" w:rsidP="00FB266A">
      <w:pPr>
        <w:pStyle w:val="a4"/>
        <w:spacing w:line="360" w:lineRule="auto"/>
        <w:jc w:val="left"/>
        <w:rPr>
          <w:rFonts w:ascii="Times New Roman" w:hAnsi="Times New Roman" w:cs="Times New Roman"/>
          <w:sz w:val="24"/>
          <w:szCs w:val="24"/>
        </w:rPr>
      </w:pPr>
    </w:p>
    <w:p w:rsidR="00FB266A" w:rsidRPr="00FB266A" w:rsidRDefault="002652F5" w:rsidP="00FB266A">
      <w:pPr>
        <w:pStyle w:val="a4"/>
        <w:spacing w:line="360" w:lineRule="auto"/>
        <w:jc w:val="left"/>
        <w:rPr>
          <w:rFonts w:ascii="Times New Roman" w:hAnsi="Times New Roman" w:cs="Times New Roman"/>
          <w:sz w:val="24"/>
          <w:szCs w:val="24"/>
        </w:rPr>
      </w:pPr>
      <w:r>
        <w:rPr>
          <w:rFonts w:ascii="맑은 고딕" w:eastAsia="맑은 고딕" w:hAnsi="맑은 고딕" w:cs="Times New Roman" w:hint="eastAsia"/>
          <w:sz w:val="24"/>
          <w:szCs w:val="24"/>
        </w:rPr>
        <w:t>•</w:t>
      </w:r>
      <w:r w:rsidR="00FB266A">
        <w:rPr>
          <w:rFonts w:ascii="맑은 고딕" w:eastAsia="맑은 고딕" w:hAnsi="맑은 고딕" w:cs="Times New Roman" w:hint="eastAsia"/>
          <w:sz w:val="24"/>
          <w:szCs w:val="24"/>
        </w:rPr>
        <w:t xml:space="preserve"> </w:t>
      </w:r>
      <w:r w:rsidR="00FB266A" w:rsidRPr="00FB266A">
        <w:rPr>
          <w:rFonts w:ascii="Times New Roman" w:hAnsi="Times New Roman" w:cs="Times New Roman"/>
          <w:sz w:val="24"/>
          <w:szCs w:val="24"/>
        </w:rPr>
        <w:t>Choroidal detachment, significant hypotony, grade C-1 PVR, 4 detached quadrants, and large</w:t>
      </w:r>
    </w:p>
    <w:p w:rsidR="00FB266A" w:rsidRDefault="00FB266A" w:rsidP="00FB266A">
      <w:pPr>
        <w:pStyle w:val="a4"/>
        <w:spacing w:line="360" w:lineRule="auto"/>
        <w:jc w:val="left"/>
        <w:rPr>
          <w:rFonts w:ascii="Times New Roman" w:hAnsi="Times New Roman" w:cs="Times New Roman"/>
          <w:sz w:val="24"/>
          <w:szCs w:val="24"/>
        </w:rPr>
      </w:pPr>
      <w:r w:rsidRPr="00FB266A">
        <w:rPr>
          <w:rFonts w:ascii="Times New Roman" w:hAnsi="Times New Roman" w:cs="Times New Roman"/>
          <w:sz w:val="24"/>
          <w:szCs w:val="24"/>
        </w:rPr>
        <w:t>or giant retinal breaks were independent explanatory variables of retinal detachment repair failure. In contrast</w:t>
      </w:r>
      <w:r>
        <w:rPr>
          <w:rFonts w:ascii="Times New Roman" w:hAnsi="Times New Roman" w:cs="Times New Roman"/>
          <w:sz w:val="24"/>
          <w:szCs w:val="24"/>
        </w:rPr>
        <w:t xml:space="preserve"> </w:t>
      </w:r>
      <w:r w:rsidRPr="00FB266A">
        <w:rPr>
          <w:rFonts w:ascii="Times New Roman" w:hAnsi="Times New Roman" w:cs="Times New Roman"/>
          <w:sz w:val="24"/>
          <w:szCs w:val="24"/>
        </w:rPr>
        <w:t>to earlier studies, the significance of phakic versus pseudophakic status was not confirmed.</w:t>
      </w:r>
      <w:r w:rsidRPr="00FB266A">
        <w:rPr>
          <w:rFonts w:ascii="Times New Roman" w:hAnsi="Times New Roman" w:cs="Times New Roman"/>
          <w:sz w:val="24"/>
          <w:szCs w:val="24"/>
          <w:vertAlign w:val="superscript"/>
        </w:rPr>
        <w:t>2</w:t>
      </w:r>
    </w:p>
    <w:p w:rsidR="00FB266A" w:rsidRPr="00474FC0" w:rsidRDefault="00FB266A" w:rsidP="00FB266A">
      <w:pPr>
        <w:pStyle w:val="a4"/>
        <w:spacing w:line="360" w:lineRule="auto"/>
        <w:jc w:val="left"/>
        <w:rPr>
          <w:rFonts w:ascii="Times New Roman" w:hAnsi="Times New Roman" w:cs="Times New Roman"/>
          <w:sz w:val="24"/>
          <w:szCs w:val="24"/>
        </w:rPr>
      </w:pPr>
    </w:p>
    <w:p w:rsidR="00474FC0" w:rsidRPr="00474FC0" w:rsidRDefault="002652F5" w:rsidP="00FB266A">
      <w:pPr>
        <w:pStyle w:val="a4"/>
        <w:spacing w:line="360" w:lineRule="auto"/>
        <w:jc w:val="left"/>
        <w:rPr>
          <w:rFonts w:ascii="Times New Roman" w:hAnsi="Times New Roman" w:cs="Times New Roman"/>
          <w:sz w:val="24"/>
          <w:szCs w:val="24"/>
        </w:rPr>
      </w:pPr>
      <w:r>
        <w:rPr>
          <w:rFonts w:ascii="맑은 고딕" w:eastAsia="맑은 고딕" w:hAnsi="맑은 고딕" w:cs="Times New Roman" w:hint="eastAsia"/>
          <w:sz w:val="24"/>
          <w:szCs w:val="24"/>
        </w:rPr>
        <w:t>•</w:t>
      </w:r>
      <w:r w:rsidR="00FB266A">
        <w:rPr>
          <w:rFonts w:ascii="맑은 고딕" w:eastAsia="맑은 고딕" w:hAnsi="맑은 고딕" w:cs="Times New Roman" w:hint="eastAsia"/>
          <w:sz w:val="24"/>
          <w:szCs w:val="24"/>
        </w:rPr>
        <w:t xml:space="preserve"> </w:t>
      </w:r>
      <w:r w:rsidR="00474FC0" w:rsidRPr="00474FC0">
        <w:rPr>
          <w:rFonts w:ascii="Times New Roman" w:hAnsi="Times New Roman" w:cs="Times New Roman"/>
          <w:sz w:val="24"/>
          <w:szCs w:val="24"/>
        </w:rPr>
        <w:t xml:space="preserve">The inﬂuence of rhegmatogenous retinal detachment (RRD) features in determining the success rates of surgery is not fully understood. An understanding of the pattern of clinical features of RRD is essential if surgeons are to be able to maximize the success of operations. </w:t>
      </w:r>
    </w:p>
    <w:p w:rsidR="00474FC0" w:rsidRPr="00474FC0" w:rsidRDefault="00474FC0" w:rsidP="00FB266A">
      <w:pPr>
        <w:pStyle w:val="a4"/>
        <w:spacing w:line="360" w:lineRule="auto"/>
        <w:jc w:val="left"/>
        <w:rPr>
          <w:rFonts w:ascii="Times New Roman" w:hAnsi="Times New Roman" w:cs="Times New Roman"/>
          <w:sz w:val="24"/>
          <w:szCs w:val="24"/>
        </w:rPr>
      </w:pPr>
    </w:p>
    <w:p w:rsidR="00474FC0" w:rsidRPr="00474FC0" w:rsidRDefault="00474FC0" w:rsidP="00FB266A">
      <w:pPr>
        <w:pStyle w:val="a4"/>
        <w:spacing w:line="360" w:lineRule="auto"/>
        <w:jc w:val="left"/>
        <w:rPr>
          <w:rFonts w:ascii="Times New Roman" w:hAnsi="Times New Roman" w:cs="Times New Roman"/>
          <w:sz w:val="24"/>
          <w:szCs w:val="24"/>
        </w:rPr>
      </w:pPr>
      <w:r w:rsidRPr="00474FC0">
        <w:rPr>
          <w:rFonts w:ascii="Times New Roman" w:hAnsi="Times New Roman" w:cs="Times New Roman"/>
          <w:sz w:val="24"/>
          <w:szCs w:val="24"/>
        </w:rPr>
        <w:lastRenderedPageBreak/>
        <w:t>Primary success rates vary from 81% to 92% in uncomplicated cases,</w:t>
      </w:r>
      <w:r w:rsidR="008A05E9">
        <w:rPr>
          <w:rFonts w:ascii="Times New Roman" w:hAnsi="Times New Roman" w:cs="Times New Roman"/>
          <w:sz w:val="24"/>
          <w:szCs w:val="24"/>
          <w:vertAlign w:val="superscript"/>
        </w:rPr>
        <w:t>3</w:t>
      </w:r>
      <w:r w:rsidRPr="00474FC0">
        <w:rPr>
          <w:rFonts w:ascii="Times New Roman" w:hAnsi="Times New Roman" w:cs="Times New Roman"/>
          <w:sz w:val="24"/>
          <w:szCs w:val="24"/>
          <w:vertAlign w:val="superscript"/>
        </w:rPr>
        <w:t>–</w:t>
      </w:r>
      <w:r w:rsidR="008A05E9">
        <w:rPr>
          <w:rFonts w:ascii="Times New Roman" w:hAnsi="Times New Roman" w:cs="Times New Roman"/>
          <w:sz w:val="24"/>
          <w:szCs w:val="24"/>
          <w:vertAlign w:val="superscript"/>
        </w:rPr>
        <w:t>9</w:t>
      </w:r>
      <w:r w:rsidRPr="00474FC0">
        <w:rPr>
          <w:rFonts w:ascii="Times New Roman" w:hAnsi="Times New Roman" w:cs="Times New Roman"/>
          <w:sz w:val="24"/>
          <w:szCs w:val="24"/>
        </w:rPr>
        <w:t xml:space="preserve"> </w:t>
      </w:r>
      <w:r w:rsidR="008A05E9">
        <w:rPr>
          <w:rFonts w:ascii="Times New Roman" w:hAnsi="Times New Roman" w:cs="Times New Roman"/>
          <w:sz w:val="24"/>
          <w:szCs w:val="24"/>
        </w:rPr>
        <w:t xml:space="preserve">or </w:t>
      </w:r>
      <w:r w:rsidRPr="00474FC0">
        <w:rPr>
          <w:rFonts w:ascii="Times New Roman" w:hAnsi="Times New Roman" w:cs="Times New Roman"/>
          <w:sz w:val="24"/>
          <w:szCs w:val="24"/>
        </w:rPr>
        <w:t>65% to 70% in high-risk eyes.</w:t>
      </w:r>
      <w:r w:rsidR="008A05E9">
        <w:rPr>
          <w:rFonts w:ascii="Times New Roman" w:hAnsi="Times New Roman" w:cs="Times New Roman"/>
          <w:sz w:val="24"/>
          <w:szCs w:val="24"/>
          <w:vertAlign w:val="superscript"/>
        </w:rPr>
        <w:t>10-14</w:t>
      </w:r>
      <w:r w:rsidR="008A05E9">
        <w:rPr>
          <w:rFonts w:ascii="Times New Roman" w:hAnsi="Times New Roman" w:cs="Times New Roman"/>
          <w:sz w:val="24"/>
          <w:szCs w:val="24"/>
        </w:rPr>
        <w:t xml:space="preserve"> </w:t>
      </w:r>
      <w:r w:rsidRPr="00474FC0">
        <w:rPr>
          <w:rFonts w:ascii="Times New Roman" w:hAnsi="Times New Roman" w:cs="Times New Roman"/>
          <w:sz w:val="24"/>
          <w:szCs w:val="24"/>
        </w:rPr>
        <w:t xml:space="preserve">This indicates that there is a signiﬁcant failure rate of single surgery in RRD with many patients requiring second or even multiple surgeries. Despite great advances in surgical method, a ﬁnal failure rate persists. Therefore, it is important for the surgeon to identify patients who are at a high risk of failure. </w:t>
      </w:r>
    </w:p>
    <w:p w:rsidR="00474FC0" w:rsidRPr="00474FC0" w:rsidRDefault="00474FC0" w:rsidP="00FB266A">
      <w:pPr>
        <w:pStyle w:val="a4"/>
        <w:spacing w:line="360" w:lineRule="auto"/>
        <w:jc w:val="left"/>
        <w:rPr>
          <w:rFonts w:ascii="Times New Roman" w:hAnsi="Times New Roman" w:cs="Times New Roman"/>
          <w:sz w:val="24"/>
          <w:szCs w:val="24"/>
        </w:rPr>
      </w:pPr>
    </w:p>
    <w:p w:rsidR="00474FC0" w:rsidRPr="00474FC0" w:rsidRDefault="00474FC0" w:rsidP="00FB266A">
      <w:pPr>
        <w:pStyle w:val="a4"/>
        <w:spacing w:line="360" w:lineRule="auto"/>
        <w:jc w:val="left"/>
        <w:rPr>
          <w:rFonts w:ascii="Times New Roman" w:hAnsi="Times New Roman" w:cs="Times New Roman"/>
          <w:sz w:val="24"/>
          <w:szCs w:val="24"/>
        </w:rPr>
      </w:pPr>
      <w:r w:rsidRPr="00474FC0">
        <w:rPr>
          <w:rFonts w:ascii="Times New Roman" w:hAnsi="Times New Roman" w:cs="Times New Roman"/>
          <w:sz w:val="24"/>
          <w:szCs w:val="24"/>
        </w:rPr>
        <w:t>In this study, the preoperative characteristics of RRD were studied in relation to the success rates of reattachment RRD to try to determine if clinical features could identify those at the risk of failure of primary surgery.</w:t>
      </w:r>
    </w:p>
    <w:p w:rsidR="00474FC0" w:rsidRDefault="00474FC0" w:rsidP="00FB266A">
      <w:pPr>
        <w:pStyle w:val="a4"/>
        <w:spacing w:line="360" w:lineRule="auto"/>
        <w:jc w:val="left"/>
        <w:rPr>
          <w:rFonts w:ascii="Times New Roman" w:hAnsi="Times New Roman" w:cs="Times New Roman"/>
          <w:b/>
          <w:sz w:val="24"/>
          <w:szCs w:val="24"/>
        </w:rPr>
      </w:pPr>
    </w:p>
    <w:p w:rsidR="006A7049" w:rsidRDefault="006A7049" w:rsidP="00FB266A">
      <w:pPr>
        <w:pStyle w:val="a4"/>
        <w:spacing w:line="360" w:lineRule="auto"/>
        <w:jc w:val="left"/>
        <w:rPr>
          <w:rFonts w:ascii="Times New Roman" w:hAnsi="Times New Roman" w:cs="Times New Roman"/>
          <w:b/>
          <w:sz w:val="24"/>
          <w:szCs w:val="24"/>
        </w:rPr>
      </w:pPr>
    </w:p>
    <w:p w:rsidR="006A7049" w:rsidRPr="00FB266A" w:rsidRDefault="006A7049" w:rsidP="00FB266A">
      <w:pPr>
        <w:pStyle w:val="a4"/>
        <w:spacing w:line="360" w:lineRule="auto"/>
        <w:jc w:val="left"/>
        <w:rPr>
          <w:rFonts w:ascii="Times New Roman" w:hAnsi="Times New Roman" w:cs="Times New Roman"/>
          <w:b/>
          <w:sz w:val="24"/>
          <w:szCs w:val="24"/>
        </w:rPr>
      </w:pPr>
      <w:r w:rsidRPr="00FB266A">
        <w:rPr>
          <w:rFonts w:ascii="Times New Roman" w:hAnsi="Times New Roman" w:cs="Times New Roman"/>
          <w:b/>
          <w:sz w:val="24"/>
          <w:szCs w:val="24"/>
        </w:rPr>
        <w:t>&lt;Variables&gt;</w:t>
      </w:r>
    </w:p>
    <w:p w:rsidR="006A7049" w:rsidRDefault="006A7049" w:rsidP="00FB266A">
      <w:pPr>
        <w:pStyle w:val="a4"/>
        <w:spacing w:line="360" w:lineRule="auto"/>
        <w:jc w:val="left"/>
        <w:rPr>
          <w:rFonts w:ascii="Times New Roman" w:hAnsi="Times New Roman" w:cs="Times New Roman"/>
          <w:sz w:val="24"/>
          <w:szCs w:val="24"/>
        </w:rPr>
      </w:pPr>
    </w:p>
    <w:p w:rsidR="00313BF2" w:rsidRDefault="00C06E72" w:rsidP="00FB266A">
      <w:pPr>
        <w:pStyle w:val="a4"/>
        <w:spacing w:line="360" w:lineRule="auto"/>
        <w:jc w:val="left"/>
        <w:rPr>
          <w:rFonts w:ascii="Times New Roman" w:hAnsi="Times New Roman" w:cs="Times New Roman"/>
          <w:sz w:val="24"/>
          <w:szCs w:val="24"/>
        </w:rPr>
      </w:pPr>
      <w:r>
        <w:rPr>
          <w:rFonts w:ascii="Times New Roman" w:hAnsi="Times New Roman" w:cs="Times New Roman"/>
          <w:sz w:val="24"/>
          <w:szCs w:val="24"/>
        </w:rPr>
        <w:t>A</w:t>
      </w:r>
      <w:r w:rsidR="006A7049">
        <w:rPr>
          <w:rFonts w:ascii="Times New Roman" w:hAnsi="Times New Roman" w:cs="Times New Roman"/>
          <w:sz w:val="24"/>
          <w:szCs w:val="24"/>
        </w:rPr>
        <w:t>ge</w:t>
      </w:r>
      <w:r>
        <w:rPr>
          <w:rFonts w:ascii="Times New Roman" w:hAnsi="Times New Roman" w:cs="Times New Roman"/>
          <w:sz w:val="24"/>
          <w:szCs w:val="24"/>
        </w:rPr>
        <w:t xml:space="preserve">, sex(Male 1, Femele 2), </w:t>
      </w:r>
      <w:r w:rsidR="002B5507">
        <w:rPr>
          <w:rFonts w:ascii="Times New Roman" w:hAnsi="Times New Roman" w:cs="Times New Roman"/>
          <w:sz w:val="24"/>
          <w:szCs w:val="24"/>
        </w:rPr>
        <w:t xml:space="preserve">duration of </w:t>
      </w:r>
      <w:r>
        <w:rPr>
          <w:rFonts w:ascii="Times New Roman" w:hAnsi="Times New Roman" w:cs="Times New Roman"/>
          <w:sz w:val="24"/>
          <w:szCs w:val="24"/>
        </w:rPr>
        <w:t xml:space="preserve">symptom, ocular surgery history(Yes 1, No 2), RD location, extents of RD(1,2,3 and 4 quadrants), macular involve(Yes 1, No 2), </w:t>
      </w:r>
      <w:r w:rsidR="002B5507">
        <w:rPr>
          <w:rFonts w:ascii="Times New Roman" w:hAnsi="Times New Roman" w:cs="Times New Roman"/>
          <w:sz w:val="24"/>
          <w:szCs w:val="24"/>
        </w:rPr>
        <w:t xml:space="preserve">presence of </w:t>
      </w:r>
      <w:r>
        <w:rPr>
          <w:rFonts w:ascii="Times New Roman" w:hAnsi="Times New Roman" w:cs="Times New Roman"/>
          <w:sz w:val="24"/>
          <w:szCs w:val="24"/>
        </w:rPr>
        <w:t xml:space="preserve">vitreous hemorrhage (Yes 1, No 2), PVR (Yes 1, No 2), </w:t>
      </w:r>
      <w:r w:rsidR="006A7049">
        <w:rPr>
          <w:rFonts w:ascii="Times New Roman" w:hAnsi="Times New Roman" w:cs="Times New Roman"/>
          <w:sz w:val="24"/>
          <w:szCs w:val="24"/>
        </w:rPr>
        <w:t>PVR grade</w:t>
      </w:r>
      <w:r>
        <w:rPr>
          <w:rFonts w:ascii="Times New Roman" w:hAnsi="Times New Roman" w:cs="Times New Roman"/>
          <w:sz w:val="24"/>
          <w:szCs w:val="24"/>
        </w:rPr>
        <w:t>(0, A, B, C)</w:t>
      </w:r>
      <w:r w:rsidR="006A7049">
        <w:rPr>
          <w:rFonts w:ascii="Times New Roman" w:hAnsi="Times New Roman" w:cs="Times New Roman"/>
          <w:sz w:val="24"/>
          <w:szCs w:val="24"/>
        </w:rPr>
        <w:t>,</w:t>
      </w:r>
      <w:r>
        <w:rPr>
          <w:rFonts w:ascii="Times New Roman" w:hAnsi="Times New Roman" w:cs="Times New Roman"/>
          <w:sz w:val="24"/>
          <w:szCs w:val="24"/>
        </w:rPr>
        <w:t xml:space="preserve"> combined </w:t>
      </w:r>
      <w:r w:rsidR="006A7049">
        <w:rPr>
          <w:rFonts w:ascii="Times New Roman" w:hAnsi="Times New Roman" w:cs="Times New Roman"/>
          <w:sz w:val="24"/>
          <w:szCs w:val="24"/>
        </w:rPr>
        <w:t>PE PCL</w:t>
      </w:r>
      <w:r>
        <w:rPr>
          <w:rFonts w:ascii="Times New Roman" w:hAnsi="Times New Roman" w:cs="Times New Roman"/>
          <w:sz w:val="24"/>
          <w:szCs w:val="24"/>
        </w:rPr>
        <w:t xml:space="preserve"> (Yes 1, No 2), S</w:t>
      </w:r>
      <w:r w:rsidR="002652F5">
        <w:rPr>
          <w:rFonts w:ascii="Times New Roman" w:hAnsi="Times New Roman" w:cs="Times New Roman" w:hint="eastAsia"/>
          <w:sz w:val="24"/>
          <w:szCs w:val="24"/>
        </w:rPr>
        <w:t>u</w:t>
      </w:r>
      <w:r>
        <w:rPr>
          <w:rFonts w:ascii="Times New Roman" w:hAnsi="Times New Roman" w:cs="Times New Roman"/>
          <w:sz w:val="24"/>
          <w:szCs w:val="24"/>
        </w:rPr>
        <w:t>rgeons(</w:t>
      </w:r>
      <w:r>
        <w:rPr>
          <w:rFonts w:ascii="Times New Roman" w:hAnsi="Times New Roman" w:cs="Times New Roman" w:hint="eastAsia"/>
          <w:sz w:val="24"/>
          <w:szCs w:val="24"/>
        </w:rPr>
        <w:t>A</w:t>
      </w:r>
      <w:r>
        <w:rPr>
          <w:rFonts w:ascii="Times New Roman" w:hAnsi="Times New Roman" w:cs="Times New Roman"/>
          <w:sz w:val="24"/>
          <w:szCs w:val="24"/>
        </w:rPr>
        <w:t>, G, L, P, Q, R, Y, Z),</w:t>
      </w:r>
      <w:r w:rsidR="006A7049">
        <w:rPr>
          <w:rFonts w:ascii="Times New Roman" w:hAnsi="Times New Roman" w:cs="Times New Roman"/>
          <w:sz w:val="24"/>
          <w:szCs w:val="24"/>
        </w:rPr>
        <w:t xml:space="preserve"> </w:t>
      </w:r>
      <w:r w:rsidR="006A7049">
        <w:rPr>
          <w:rFonts w:ascii="Times New Roman" w:hAnsi="Times New Roman" w:cs="Times New Roman" w:hint="eastAsia"/>
          <w:sz w:val="24"/>
          <w:szCs w:val="24"/>
        </w:rPr>
        <w:t>S</w:t>
      </w:r>
      <w:r w:rsidR="006A7049">
        <w:rPr>
          <w:rFonts w:ascii="Times New Roman" w:hAnsi="Times New Roman" w:cs="Times New Roman"/>
          <w:sz w:val="24"/>
          <w:szCs w:val="24"/>
        </w:rPr>
        <w:t>B/PPV/combine op</w:t>
      </w:r>
      <w:r>
        <w:rPr>
          <w:rFonts w:ascii="Times New Roman" w:hAnsi="Times New Roman" w:cs="Times New Roman"/>
          <w:sz w:val="24"/>
          <w:szCs w:val="24"/>
        </w:rPr>
        <w:t>(PPV 1, SB/EN 2, PPV + SB/EN 3), lens status(Phakia 1, Pesudophakia 2, Aphakia 3), underlying disease(DM 1, HTN 2), Blood test-glucose, Blood test-HbA1c, operation time, intraoperative laser((Yes 1, No 2), intraoperative cryo</w:t>
      </w:r>
      <w:r w:rsidR="001A7F5B">
        <w:rPr>
          <w:rFonts w:ascii="Times New Roman" w:hAnsi="Times New Roman" w:cs="Times New Roman"/>
          <w:sz w:val="24"/>
          <w:szCs w:val="24"/>
        </w:rPr>
        <w:t>(Yes 1, No 2), anesthesia type</w:t>
      </w:r>
      <w:r w:rsidR="00313BF2">
        <w:rPr>
          <w:rFonts w:ascii="Times New Roman" w:hAnsi="Times New Roman" w:cs="Times New Roman"/>
          <w:sz w:val="24"/>
          <w:szCs w:val="24"/>
        </w:rPr>
        <w:t>(General 1, Mac 2, local 3), No. of retinal breaks, type of retinal breaks(hole 1, small tear 2, large tear 3, giant tear 4), choroidal detachment(Yes 1, No 2), preoperative IOP(for hypotony evaluation), silicone oil injection(Yes 1, No 2), used gauge(23G 1, 25G 2), PVD(Yes 1, No 2)</w:t>
      </w:r>
      <w:r w:rsidR="002B5507">
        <w:rPr>
          <w:rFonts w:ascii="Times New Roman" w:hAnsi="Times New Roman" w:cs="Times New Roman"/>
          <w:sz w:val="24"/>
          <w:szCs w:val="24"/>
        </w:rPr>
        <w:t>, visual acuity, axial length</w:t>
      </w:r>
    </w:p>
    <w:p w:rsidR="00313BF2" w:rsidRDefault="00313BF2" w:rsidP="00FB266A">
      <w:pPr>
        <w:pStyle w:val="a4"/>
        <w:spacing w:line="360" w:lineRule="auto"/>
        <w:jc w:val="left"/>
        <w:rPr>
          <w:rFonts w:ascii="Times New Roman" w:hAnsi="Times New Roman" w:cs="Times New Roman"/>
          <w:sz w:val="24"/>
          <w:szCs w:val="24"/>
        </w:rPr>
      </w:pPr>
    </w:p>
    <w:p w:rsidR="002474B3" w:rsidRPr="00FB266A" w:rsidRDefault="002B5507" w:rsidP="00FB266A">
      <w:pPr>
        <w:pStyle w:val="a4"/>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 </w:t>
      </w:r>
    </w:p>
    <w:p w:rsidR="00382C00" w:rsidRPr="00FB266A" w:rsidRDefault="008A05E9" w:rsidP="00FB266A">
      <w:pPr>
        <w:pStyle w:val="a4"/>
        <w:spacing w:line="360" w:lineRule="auto"/>
        <w:jc w:val="left"/>
        <w:rPr>
          <w:rFonts w:ascii="Times New Roman" w:hAnsi="Times New Roman" w:cs="Times New Roman"/>
          <w:b/>
          <w:sz w:val="24"/>
          <w:szCs w:val="24"/>
        </w:rPr>
      </w:pPr>
      <w:r w:rsidRPr="00FB266A">
        <w:rPr>
          <w:rFonts w:ascii="Times New Roman" w:hAnsi="Times New Roman" w:cs="Times New Roman" w:hint="eastAsia"/>
          <w:b/>
          <w:sz w:val="24"/>
          <w:szCs w:val="24"/>
        </w:rPr>
        <w:t>&lt;</w:t>
      </w:r>
      <w:r w:rsidRPr="00FB266A">
        <w:rPr>
          <w:rFonts w:ascii="Times New Roman" w:hAnsi="Times New Roman" w:cs="Times New Roman"/>
          <w:b/>
          <w:sz w:val="24"/>
          <w:szCs w:val="24"/>
        </w:rPr>
        <w:t>References&gt;</w:t>
      </w:r>
    </w:p>
    <w:p w:rsidR="00E9621C" w:rsidRPr="00E9621C" w:rsidRDefault="00E9621C" w:rsidP="00FB266A">
      <w:pPr>
        <w:pStyle w:val="a4"/>
        <w:spacing w:line="360" w:lineRule="auto"/>
        <w:jc w:val="left"/>
        <w:rPr>
          <w:rFonts w:ascii="Times New Roman" w:hAnsi="Times New Roman" w:cs="Times New Roman"/>
          <w:sz w:val="24"/>
          <w:szCs w:val="24"/>
        </w:rPr>
      </w:pPr>
    </w:p>
    <w:p w:rsidR="00E9621C" w:rsidRDefault="00FB266A" w:rsidP="00FB266A">
      <w:pPr>
        <w:pStyle w:val="a4"/>
        <w:spacing w:line="360" w:lineRule="auto"/>
        <w:jc w:val="left"/>
        <w:rPr>
          <w:rFonts w:ascii="Times New Roman" w:hAnsi="Times New Roman" w:cs="Times New Roman"/>
          <w:sz w:val="24"/>
          <w:szCs w:val="24"/>
        </w:rPr>
      </w:pPr>
      <w:r>
        <w:rPr>
          <w:rFonts w:ascii="Times New Roman" w:hAnsi="Times New Roman" w:cs="Times New Roman"/>
          <w:sz w:val="24"/>
          <w:szCs w:val="24"/>
        </w:rPr>
        <w:t>1</w:t>
      </w:r>
      <w:r w:rsidR="008A05E9">
        <w:rPr>
          <w:rFonts w:ascii="Times New Roman" w:hAnsi="Times New Roman" w:cs="Times New Roman"/>
          <w:sz w:val="24"/>
          <w:szCs w:val="24"/>
        </w:rPr>
        <w:t>.</w:t>
      </w:r>
      <w:r w:rsidR="00E9621C">
        <w:rPr>
          <w:rFonts w:ascii="Times New Roman" w:hAnsi="Times New Roman" w:cs="Times New Roman"/>
          <w:sz w:val="24"/>
          <w:szCs w:val="24"/>
        </w:rPr>
        <w:t xml:space="preserve"> </w:t>
      </w:r>
      <w:r w:rsidR="008A05E9">
        <w:rPr>
          <w:rFonts w:ascii="Times New Roman" w:hAnsi="Times New Roman" w:cs="Times New Roman"/>
          <w:sz w:val="24"/>
          <w:szCs w:val="24"/>
        </w:rPr>
        <w:tab/>
      </w:r>
      <w:r w:rsidR="008A05E9" w:rsidRPr="00E9621C">
        <w:rPr>
          <w:rFonts w:ascii="Times New Roman" w:hAnsi="Times New Roman" w:cs="Times New Roman"/>
          <w:sz w:val="24"/>
          <w:szCs w:val="24"/>
        </w:rPr>
        <w:t>Williamson TH, Lee EJ, Shunmugam M.</w:t>
      </w:r>
      <w:r w:rsidR="008A05E9">
        <w:rPr>
          <w:rFonts w:ascii="Times New Roman" w:hAnsi="Times New Roman" w:cs="Times New Roman"/>
          <w:sz w:val="24"/>
          <w:szCs w:val="24"/>
        </w:rPr>
        <w:t xml:space="preserve"> </w:t>
      </w:r>
      <w:r w:rsidR="008A05E9" w:rsidRPr="00E9621C">
        <w:rPr>
          <w:rFonts w:ascii="Times New Roman" w:hAnsi="Times New Roman" w:cs="Times New Roman"/>
          <w:sz w:val="24"/>
          <w:szCs w:val="24"/>
        </w:rPr>
        <w:t>Characteristics of rhegmatogenous retinal detachment and their relationship to success rates of surgery.</w:t>
      </w:r>
      <w:r w:rsidR="008A05E9">
        <w:rPr>
          <w:rFonts w:ascii="Times New Roman" w:hAnsi="Times New Roman" w:cs="Times New Roman"/>
          <w:sz w:val="24"/>
          <w:szCs w:val="24"/>
        </w:rPr>
        <w:t xml:space="preserve"> </w:t>
      </w:r>
      <w:r w:rsidR="00E9621C" w:rsidRPr="00E9621C">
        <w:rPr>
          <w:rFonts w:ascii="Times New Roman" w:hAnsi="Times New Roman" w:cs="Times New Roman"/>
          <w:sz w:val="24"/>
          <w:szCs w:val="24"/>
        </w:rPr>
        <w:t xml:space="preserve">Retina. 2014 Jul;34(7):1421-7. </w:t>
      </w:r>
    </w:p>
    <w:p w:rsidR="00FB266A" w:rsidRPr="00E9621C" w:rsidRDefault="00FB266A" w:rsidP="00FB266A">
      <w:pPr>
        <w:pStyle w:val="a4"/>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ab/>
      </w:r>
      <w:r w:rsidRPr="00E9621C">
        <w:rPr>
          <w:rFonts w:ascii="Times New Roman" w:hAnsi="Times New Roman" w:cs="Times New Roman"/>
          <w:sz w:val="24"/>
          <w:szCs w:val="24"/>
        </w:rPr>
        <w:t>Adelman RA, Parnes AJ, Michalewska Z, Ducournau D; European Vitreo-Retinal Society (EVRS) Retinal Detachment Study Group.</w:t>
      </w:r>
      <w:r>
        <w:rPr>
          <w:rFonts w:ascii="Times New Roman" w:hAnsi="Times New Roman" w:cs="Times New Roman"/>
          <w:sz w:val="24"/>
          <w:szCs w:val="24"/>
        </w:rPr>
        <w:t xml:space="preserve"> </w:t>
      </w:r>
      <w:r w:rsidRPr="00E9621C">
        <w:rPr>
          <w:rFonts w:ascii="Times New Roman" w:hAnsi="Times New Roman" w:cs="Times New Roman"/>
          <w:sz w:val="24"/>
          <w:szCs w:val="24"/>
        </w:rPr>
        <w:t xml:space="preserve">Clinical variables associated with failure of </w:t>
      </w:r>
      <w:r w:rsidRPr="00E9621C">
        <w:rPr>
          <w:rFonts w:ascii="Times New Roman" w:hAnsi="Times New Roman" w:cs="Times New Roman"/>
          <w:sz w:val="24"/>
          <w:szCs w:val="24"/>
        </w:rPr>
        <w:lastRenderedPageBreak/>
        <w:t>retinal detachment repair: the European vitreo-retinal society retinal detachment study report number 4.</w:t>
      </w:r>
    </w:p>
    <w:p w:rsidR="00FB266A" w:rsidRPr="00E9621C" w:rsidRDefault="00FB266A" w:rsidP="00FB266A">
      <w:pPr>
        <w:pStyle w:val="a4"/>
        <w:spacing w:line="360" w:lineRule="auto"/>
        <w:jc w:val="left"/>
        <w:rPr>
          <w:rFonts w:ascii="Times New Roman" w:hAnsi="Times New Roman" w:cs="Times New Roman"/>
          <w:sz w:val="24"/>
          <w:szCs w:val="24"/>
        </w:rPr>
      </w:pPr>
      <w:r w:rsidRPr="00E9621C">
        <w:rPr>
          <w:rFonts w:ascii="Times New Roman" w:hAnsi="Times New Roman" w:cs="Times New Roman"/>
          <w:sz w:val="24"/>
          <w:szCs w:val="24"/>
        </w:rPr>
        <w:t xml:space="preserve">Ophthalmology. 2014 Sep;121(9):1715-9. </w:t>
      </w:r>
      <w:r>
        <w:rPr>
          <w:rFonts w:ascii="Times New Roman" w:hAnsi="Times New Roman" w:cs="Times New Roman"/>
          <w:sz w:val="24"/>
          <w:szCs w:val="24"/>
        </w:rPr>
        <w:t xml:space="preserve"> </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3.</w:t>
      </w:r>
      <w:r w:rsidRPr="008A05E9">
        <w:rPr>
          <w:rFonts w:ascii="Times New Roman" w:hAnsi="Times New Roman" w:cs="Times New Roman"/>
          <w:sz w:val="24"/>
          <w:szCs w:val="24"/>
        </w:rPr>
        <w:tab/>
        <w:t>Girard P, Karpouzas I. Pseudophakic retinal detachment: anatomic and visual results. Graefes Arch Clin Exp Ophthalmol 1995;233: 324–330.</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4.</w:t>
      </w:r>
      <w:r w:rsidRPr="008A05E9">
        <w:rPr>
          <w:rFonts w:ascii="Times New Roman" w:hAnsi="Times New Roman" w:cs="Times New Roman"/>
          <w:sz w:val="24"/>
          <w:szCs w:val="24"/>
        </w:rPr>
        <w:tab/>
        <w:t>La Heij EC, Derhaag PF, Hendrikse F. Results of scleral buckling operations in primary rhegmatogenous retinal detachment. Doc Ophthalmol 2000;100:17–25.</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5.</w:t>
      </w:r>
      <w:r w:rsidRPr="008A05E9">
        <w:rPr>
          <w:rFonts w:ascii="Times New Roman" w:hAnsi="Times New Roman" w:cs="Times New Roman"/>
          <w:sz w:val="24"/>
          <w:szCs w:val="24"/>
        </w:rPr>
        <w:tab/>
        <w:t>Oshima Y, Emi K, Motokura M, et al. Survey of surgical indications and results of primary pars plana vitrectomy for rhegmatogenous retinal detachments. Jpn J Ophthalmol 1999; 43:120–126.</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6.</w:t>
      </w:r>
      <w:r w:rsidRPr="008A05E9">
        <w:rPr>
          <w:rFonts w:ascii="Times New Roman" w:hAnsi="Times New Roman" w:cs="Times New Roman"/>
          <w:sz w:val="24"/>
          <w:szCs w:val="24"/>
        </w:rPr>
        <w:tab/>
        <w:t>Thompson JA, Snead MP, Billington BM, et al. National audit of the outcome of primary surgery for rhegmatogenous retinal detachment. II. Clinical outcomes. Eye (Lond) 2002;16: 771–777.</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7.</w:t>
      </w:r>
      <w:r w:rsidRPr="008A05E9">
        <w:rPr>
          <w:rFonts w:ascii="Times New Roman" w:hAnsi="Times New Roman" w:cs="Times New Roman"/>
          <w:sz w:val="24"/>
          <w:szCs w:val="24"/>
        </w:rPr>
        <w:tab/>
        <w:t>Minihan M, Tanner V, Williamson TH. Primary rhegmatogenous retinal detachment: 20 years of change. Br J Ophthalmol 2001;85: 546–548.</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8.</w:t>
      </w:r>
      <w:r w:rsidRPr="008A05E9">
        <w:rPr>
          <w:rFonts w:ascii="Times New Roman" w:hAnsi="Times New Roman" w:cs="Times New Roman"/>
          <w:sz w:val="24"/>
          <w:szCs w:val="24"/>
        </w:rPr>
        <w:tab/>
        <w:t>Ah-Fat FG, Sharma MC, Majid MA, et al. Trends in vitreoretinal surgery at a tertiary referral centre: 1987 to 1996. Br J Ophthalmol 1999;83:396–398.</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9.</w:t>
      </w:r>
      <w:r w:rsidRPr="008A05E9">
        <w:rPr>
          <w:rFonts w:ascii="Times New Roman" w:hAnsi="Times New Roman" w:cs="Times New Roman"/>
          <w:sz w:val="24"/>
          <w:szCs w:val="24"/>
        </w:rPr>
        <w:tab/>
        <w:t>Campo RV, Sipperley JO, Sneed SR, et al. Pars plana vitrectomy without scleral buckle for pseudophakic retinal detachments. Ophthalmology 1999;106:1811–1815.</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10.</w:t>
      </w:r>
      <w:r w:rsidRPr="008A05E9">
        <w:rPr>
          <w:rFonts w:ascii="Times New Roman" w:hAnsi="Times New Roman" w:cs="Times New Roman"/>
          <w:sz w:val="24"/>
          <w:szCs w:val="24"/>
        </w:rPr>
        <w:tab/>
        <w:t>Schmidt JC, Rodrigues EB, Hoerle S, et al. Primary vitrectomy in complicated rhegmatogenous retinal detachment—a survey of 205 eyes. Ophthalmologica 2003;217:387–392.</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11.</w:t>
      </w:r>
      <w:r w:rsidRPr="008A05E9">
        <w:rPr>
          <w:rFonts w:ascii="Times New Roman" w:hAnsi="Times New Roman" w:cs="Times New Roman"/>
          <w:sz w:val="24"/>
          <w:szCs w:val="24"/>
        </w:rPr>
        <w:tab/>
        <w:t>Tewari HK, Kedar S, Kumar A, et al. Comparison of scleral buckling with combined scleral buckling and pars plana vitrec- tomy in the management of rhegmatogenous retinal detachment with unseen retinal breaks. Clin Experiment Ophthalmol 2003; 31:403–407.</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12.</w:t>
      </w:r>
      <w:r w:rsidRPr="008A05E9">
        <w:rPr>
          <w:rFonts w:ascii="Times New Roman" w:hAnsi="Times New Roman" w:cs="Times New Roman"/>
          <w:sz w:val="24"/>
          <w:szCs w:val="24"/>
        </w:rPr>
        <w:tab/>
        <w:t>Wong D, Billington BM, Chignell AH. Pars plana vitrectomy for retinal detachment with unseen retinal holes. Graefes Arch Clin Exp Ophthalmol 1987;225:269–271.</w:t>
      </w:r>
    </w:p>
    <w:p w:rsidR="008A05E9" w:rsidRPr="008A05E9"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13.</w:t>
      </w:r>
      <w:r w:rsidRPr="008A05E9">
        <w:rPr>
          <w:rFonts w:ascii="Times New Roman" w:hAnsi="Times New Roman" w:cs="Times New Roman"/>
          <w:sz w:val="24"/>
          <w:szCs w:val="24"/>
        </w:rPr>
        <w:tab/>
        <w:t>Hakin KN, Lavin MJ, Leaver PK. Primary vitrectomy for rhegmatogenous retinal detachment. Graefes Arch Clin Exp Ophthalmol 1993;231:344–346.</w:t>
      </w:r>
    </w:p>
    <w:p w:rsidR="000017B7" w:rsidRPr="00733FDD" w:rsidRDefault="008A05E9" w:rsidP="00FB266A">
      <w:pPr>
        <w:pStyle w:val="a4"/>
        <w:spacing w:line="360" w:lineRule="auto"/>
        <w:jc w:val="left"/>
        <w:rPr>
          <w:rFonts w:ascii="Times New Roman" w:hAnsi="Times New Roman" w:cs="Times New Roman"/>
          <w:sz w:val="24"/>
          <w:szCs w:val="24"/>
        </w:rPr>
      </w:pPr>
      <w:r w:rsidRPr="008A05E9">
        <w:rPr>
          <w:rFonts w:ascii="Times New Roman" w:hAnsi="Times New Roman" w:cs="Times New Roman"/>
          <w:sz w:val="24"/>
          <w:szCs w:val="24"/>
        </w:rPr>
        <w:t>14.</w:t>
      </w:r>
      <w:r w:rsidRPr="008A05E9">
        <w:rPr>
          <w:rFonts w:ascii="Times New Roman" w:hAnsi="Times New Roman" w:cs="Times New Roman"/>
          <w:sz w:val="24"/>
          <w:szCs w:val="24"/>
        </w:rPr>
        <w:tab/>
        <w:t>Heimann H, Bornfeld N, Friedrichs W, et al. Primary vitrectomy without scleral buckling for rhegmatogenous retinal detachment. Graefes Arch Clin Exp Ophthalmol 1996;234:561–568.</w:t>
      </w:r>
    </w:p>
    <w:sectPr w:rsidR="000017B7" w:rsidRPr="00733FDD" w:rsidSect="003766A5">
      <w:pgSz w:w="12240" w:h="15840" w:code="1"/>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1A2" w:rsidRDefault="000C01A2" w:rsidP="006D483B">
      <w:pPr>
        <w:spacing w:after="0" w:line="240" w:lineRule="auto"/>
      </w:pPr>
      <w:r>
        <w:separator/>
      </w:r>
    </w:p>
  </w:endnote>
  <w:endnote w:type="continuationSeparator" w:id="0">
    <w:p w:rsidR="000C01A2" w:rsidRDefault="000C01A2" w:rsidP="006D4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1A2" w:rsidRDefault="000C01A2" w:rsidP="006D483B">
      <w:pPr>
        <w:spacing w:after="0" w:line="240" w:lineRule="auto"/>
      </w:pPr>
      <w:r>
        <w:separator/>
      </w:r>
    </w:p>
  </w:footnote>
  <w:footnote w:type="continuationSeparator" w:id="0">
    <w:p w:rsidR="000C01A2" w:rsidRDefault="000C01A2" w:rsidP="006D4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D23E17"/>
    <w:multiLevelType w:val="hybridMultilevel"/>
    <w:tmpl w:val="6AC46E74"/>
    <w:lvl w:ilvl="0" w:tplc="33408B2A">
      <w:start w:val="1"/>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78B"/>
    <w:rsid w:val="000017B7"/>
    <w:rsid w:val="00014674"/>
    <w:rsid w:val="00031B79"/>
    <w:rsid w:val="00040923"/>
    <w:rsid w:val="00047230"/>
    <w:rsid w:val="000C01A2"/>
    <w:rsid w:val="000E3403"/>
    <w:rsid w:val="00105266"/>
    <w:rsid w:val="00111171"/>
    <w:rsid w:val="001122EB"/>
    <w:rsid w:val="00190AC2"/>
    <w:rsid w:val="001A6EDD"/>
    <w:rsid w:val="001A7F5B"/>
    <w:rsid w:val="001C154A"/>
    <w:rsid w:val="001C5B02"/>
    <w:rsid w:val="001E43BE"/>
    <w:rsid w:val="00236FCF"/>
    <w:rsid w:val="002474B3"/>
    <w:rsid w:val="002652F5"/>
    <w:rsid w:val="002A14BE"/>
    <w:rsid w:val="002B5507"/>
    <w:rsid w:val="00301535"/>
    <w:rsid w:val="00310532"/>
    <w:rsid w:val="00313BF2"/>
    <w:rsid w:val="00323880"/>
    <w:rsid w:val="003524C7"/>
    <w:rsid w:val="00372136"/>
    <w:rsid w:val="003766A5"/>
    <w:rsid w:val="00382C00"/>
    <w:rsid w:val="00474FC0"/>
    <w:rsid w:val="004D17F5"/>
    <w:rsid w:val="00501A95"/>
    <w:rsid w:val="00506A26"/>
    <w:rsid w:val="00507822"/>
    <w:rsid w:val="005111E0"/>
    <w:rsid w:val="005726FC"/>
    <w:rsid w:val="005811FF"/>
    <w:rsid w:val="005873DE"/>
    <w:rsid w:val="00596D98"/>
    <w:rsid w:val="005A79C8"/>
    <w:rsid w:val="005C47FD"/>
    <w:rsid w:val="005C7370"/>
    <w:rsid w:val="00602553"/>
    <w:rsid w:val="006043D6"/>
    <w:rsid w:val="00620453"/>
    <w:rsid w:val="006941E8"/>
    <w:rsid w:val="006A7049"/>
    <w:rsid w:val="006D483B"/>
    <w:rsid w:val="006E6CB7"/>
    <w:rsid w:val="0070678B"/>
    <w:rsid w:val="007078BB"/>
    <w:rsid w:val="00727367"/>
    <w:rsid w:val="00733FDD"/>
    <w:rsid w:val="00780F60"/>
    <w:rsid w:val="00786E61"/>
    <w:rsid w:val="007A3DFF"/>
    <w:rsid w:val="007C0E0E"/>
    <w:rsid w:val="007D670D"/>
    <w:rsid w:val="00875178"/>
    <w:rsid w:val="00887C79"/>
    <w:rsid w:val="008A05E9"/>
    <w:rsid w:val="008E0203"/>
    <w:rsid w:val="009256F4"/>
    <w:rsid w:val="00933C09"/>
    <w:rsid w:val="0094244B"/>
    <w:rsid w:val="0095241B"/>
    <w:rsid w:val="0098724D"/>
    <w:rsid w:val="009D479D"/>
    <w:rsid w:val="009D689B"/>
    <w:rsid w:val="00A3141F"/>
    <w:rsid w:val="00A53199"/>
    <w:rsid w:val="00A6231C"/>
    <w:rsid w:val="00A634BC"/>
    <w:rsid w:val="00AB6E65"/>
    <w:rsid w:val="00AD321C"/>
    <w:rsid w:val="00AE55CF"/>
    <w:rsid w:val="00B147EF"/>
    <w:rsid w:val="00B21E35"/>
    <w:rsid w:val="00B5369F"/>
    <w:rsid w:val="00B62F2B"/>
    <w:rsid w:val="00B95DDD"/>
    <w:rsid w:val="00B972C1"/>
    <w:rsid w:val="00BC700D"/>
    <w:rsid w:val="00BE3FB5"/>
    <w:rsid w:val="00BF0FF7"/>
    <w:rsid w:val="00C0143F"/>
    <w:rsid w:val="00C06E72"/>
    <w:rsid w:val="00C10D33"/>
    <w:rsid w:val="00C1154E"/>
    <w:rsid w:val="00C579E8"/>
    <w:rsid w:val="00C72A69"/>
    <w:rsid w:val="00CA6A20"/>
    <w:rsid w:val="00CC30D3"/>
    <w:rsid w:val="00CD3D6B"/>
    <w:rsid w:val="00CD761F"/>
    <w:rsid w:val="00CE079D"/>
    <w:rsid w:val="00CF3827"/>
    <w:rsid w:val="00D470D0"/>
    <w:rsid w:val="00D7307D"/>
    <w:rsid w:val="00D74403"/>
    <w:rsid w:val="00D74A48"/>
    <w:rsid w:val="00DB66E8"/>
    <w:rsid w:val="00DE542F"/>
    <w:rsid w:val="00E200E6"/>
    <w:rsid w:val="00E205DA"/>
    <w:rsid w:val="00E254B7"/>
    <w:rsid w:val="00E51AEC"/>
    <w:rsid w:val="00E9621C"/>
    <w:rsid w:val="00EB7A83"/>
    <w:rsid w:val="00ED5686"/>
    <w:rsid w:val="00EE2EA8"/>
    <w:rsid w:val="00EF2087"/>
    <w:rsid w:val="00F715AF"/>
    <w:rsid w:val="00F75735"/>
    <w:rsid w:val="00FA1C52"/>
    <w:rsid w:val="00FB266A"/>
    <w:rsid w:val="00FC205E"/>
    <w:rsid w:val="00FD29C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FC5E0"/>
  <w15:chartTrackingRefBased/>
  <w15:docId w15:val="{0DCF4AF2-9A42-4149-B3FF-E88555B76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321C"/>
    <w:pPr>
      <w:widowControl w:val="0"/>
      <w:wordWrap w:val="0"/>
      <w:autoSpaceDE w:val="0"/>
      <w:autoSpaceDN w:val="0"/>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30D3"/>
    <w:pPr>
      <w:spacing w:after="160" w:line="259" w:lineRule="auto"/>
      <w:ind w:leftChars="400" w:left="800"/>
    </w:pPr>
  </w:style>
  <w:style w:type="paragraph" w:styleId="a4">
    <w:name w:val="No Spacing"/>
    <w:uiPriority w:val="1"/>
    <w:qFormat/>
    <w:rsid w:val="00780F60"/>
    <w:pPr>
      <w:widowControl w:val="0"/>
      <w:wordWrap w:val="0"/>
      <w:autoSpaceDE w:val="0"/>
      <w:autoSpaceDN w:val="0"/>
      <w:spacing w:after="0" w:line="240" w:lineRule="auto"/>
    </w:pPr>
  </w:style>
  <w:style w:type="paragraph" w:styleId="a5">
    <w:name w:val="header"/>
    <w:basedOn w:val="a"/>
    <w:link w:val="Char"/>
    <w:uiPriority w:val="99"/>
    <w:unhideWhenUsed/>
    <w:rsid w:val="006D483B"/>
    <w:pPr>
      <w:tabs>
        <w:tab w:val="center" w:pos="4513"/>
        <w:tab w:val="right" w:pos="9026"/>
      </w:tabs>
      <w:snapToGrid w:val="0"/>
      <w:spacing w:after="160" w:line="259" w:lineRule="auto"/>
    </w:pPr>
  </w:style>
  <w:style w:type="character" w:customStyle="1" w:styleId="Char">
    <w:name w:val="머리글 Char"/>
    <w:basedOn w:val="a0"/>
    <w:link w:val="a5"/>
    <w:uiPriority w:val="99"/>
    <w:rsid w:val="006D483B"/>
  </w:style>
  <w:style w:type="paragraph" w:styleId="a6">
    <w:name w:val="footer"/>
    <w:basedOn w:val="a"/>
    <w:link w:val="Char0"/>
    <w:uiPriority w:val="99"/>
    <w:unhideWhenUsed/>
    <w:rsid w:val="006D483B"/>
    <w:pPr>
      <w:tabs>
        <w:tab w:val="center" w:pos="4513"/>
        <w:tab w:val="right" w:pos="9026"/>
      </w:tabs>
      <w:snapToGrid w:val="0"/>
      <w:spacing w:after="160" w:line="259" w:lineRule="auto"/>
    </w:pPr>
  </w:style>
  <w:style w:type="character" w:customStyle="1" w:styleId="Char0">
    <w:name w:val="바닥글 Char"/>
    <w:basedOn w:val="a0"/>
    <w:link w:val="a6"/>
    <w:uiPriority w:val="99"/>
    <w:rsid w:val="006D483B"/>
  </w:style>
  <w:style w:type="table" w:styleId="a7">
    <w:name w:val="Table Grid"/>
    <w:basedOn w:val="a1"/>
    <w:uiPriority w:val="59"/>
    <w:rsid w:val="00694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806841">
      <w:bodyDiv w:val="1"/>
      <w:marLeft w:val="0"/>
      <w:marRight w:val="0"/>
      <w:marTop w:val="0"/>
      <w:marBottom w:val="0"/>
      <w:divBdr>
        <w:top w:val="none" w:sz="0" w:space="0" w:color="auto"/>
        <w:left w:val="none" w:sz="0" w:space="0" w:color="auto"/>
        <w:bottom w:val="none" w:sz="0" w:space="0" w:color="auto"/>
        <w:right w:val="none" w:sz="0" w:space="0" w:color="auto"/>
      </w:divBdr>
    </w:div>
    <w:div w:id="1368409727">
      <w:bodyDiv w:val="1"/>
      <w:marLeft w:val="0"/>
      <w:marRight w:val="0"/>
      <w:marTop w:val="0"/>
      <w:marBottom w:val="0"/>
      <w:divBdr>
        <w:top w:val="none" w:sz="0" w:space="0" w:color="auto"/>
        <w:left w:val="none" w:sz="0" w:space="0" w:color="auto"/>
        <w:bottom w:val="none" w:sz="0" w:space="0" w:color="auto"/>
        <w:right w:val="none" w:sz="0" w:space="0" w:color="auto"/>
      </w:divBdr>
      <w:divsChild>
        <w:div w:id="36126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796</Words>
  <Characters>4542</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Duck Jin Hwang</dc:creator>
  <cp:keywords/>
  <dc:description/>
  <cp:lastModifiedBy>Hwang Duck Jin</cp:lastModifiedBy>
  <cp:revision>3</cp:revision>
  <cp:lastPrinted>2018-10-02T05:17:00Z</cp:lastPrinted>
  <dcterms:created xsi:type="dcterms:W3CDTF">2018-11-06T03:17:00Z</dcterms:created>
  <dcterms:modified xsi:type="dcterms:W3CDTF">2018-11-06T03:22:00Z</dcterms:modified>
</cp:coreProperties>
</file>