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4FA7" w:rsidRDefault="00554FA7" w:rsidP="00554FA7">
      <w:pPr>
        <w:pStyle w:val="a3"/>
        <w:spacing w:line="360" w:lineRule="auto"/>
        <w:jc w:val="left"/>
        <w:rPr>
          <w:rFonts w:ascii="Times New Roman" w:hAnsi="Times New Roman" w:cs="Times New Roman"/>
          <w:b/>
          <w:sz w:val="24"/>
          <w:szCs w:val="24"/>
        </w:rPr>
      </w:pPr>
      <w:bookmarkStart w:id="0" w:name="_GoBack"/>
      <w:bookmarkEnd w:id="0"/>
      <w:r>
        <w:rPr>
          <w:rFonts w:ascii="Times New Roman" w:hAnsi="Times New Roman" w:cs="Times New Roman" w:hint="eastAsia"/>
          <w:b/>
          <w:sz w:val="24"/>
          <w:szCs w:val="24"/>
        </w:rPr>
        <w:t>[</w:t>
      </w:r>
      <w:r>
        <w:rPr>
          <w:rFonts w:ascii="Times New Roman" w:hAnsi="Times New Roman" w:cs="Times New Roman" w:hint="eastAsia"/>
          <w:b/>
          <w:sz w:val="24"/>
          <w:szCs w:val="24"/>
        </w:rPr>
        <w:t>D</w:t>
      </w:r>
      <w:r>
        <w:rPr>
          <w:rFonts w:ascii="Times New Roman" w:hAnsi="Times New Roman" w:cs="Times New Roman"/>
          <w:b/>
          <w:sz w:val="24"/>
          <w:szCs w:val="24"/>
        </w:rPr>
        <w:t>R</w:t>
      </w:r>
      <w:r>
        <w:rPr>
          <w:rFonts w:ascii="Times New Roman" w:hAnsi="Times New Roman" w:cs="Times New Roman"/>
          <w:b/>
          <w:sz w:val="24"/>
          <w:szCs w:val="24"/>
        </w:rPr>
        <w:t xml:space="preserve"> studies]</w:t>
      </w:r>
    </w:p>
    <w:p w:rsidR="00554FA7" w:rsidRDefault="00554FA7" w:rsidP="00554FA7">
      <w:pPr>
        <w:pStyle w:val="a3"/>
        <w:spacing w:line="360" w:lineRule="auto"/>
        <w:jc w:val="left"/>
        <w:rPr>
          <w:rFonts w:ascii="Times New Roman" w:hAnsi="Times New Roman" w:cs="Times New Roman"/>
          <w:b/>
          <w:sz w:val="24"/>
          <w:szCs w:val="24"/>
        </w:rPr>
      </w:pPr>
    </w:p>
    <w:p w:rsidR="00554FA7" w:rsidRDefault="00554FA7" w:rsidP="00554FA7">
      <w:pPr>
        <w:spacing w:line="480" w:lineRule="auto"/>
        <w:jc w:val="center"/>
        <w:rPr>
          <w:rFonts w:ascii="Times New Roman" w:hAnsi="Times New Roman" w:cs="Times New Roman"/>
          <w:b/>
          <w:sz w:val="24"/>
          <w:szCs w:val="24"/>
        </w:rPr>
      </w:pPr>
      <w:r w:rsidRPr="00665054">
        <w:rPr>
          <w:rFonts w:ascii="Times New Roman" w:hAnsi="Times New Roman" w:cs="Times New Roman"/>
          <w:b/>
          <w:sz w:val="24"/>
          <w:szCs w:val="24"/>
        </w:rPr>
        <w:t xml:space="preserve">The relationship between Diabetic Retinopathy and Health-Related Quality of Life: </w:t>
      </w:r>
    </w:p>
    <w:p w:rsidR="00554FA7" w:rsidRPr="00665054" w:rsidRDefault="00554FA7" w:rsidP="00554FA7">
      <w:pPr>
        <w:spacing w:line="480" w:lineRule="auto"/>
        <w:jc w:val="center"/>
        <w:rPr>
          <w:rFonts w:ascii="Times New Roman" w:hAnsi="Times New Roman" w:cs="Times New Roman"/>
          <w:b/>
          <w:sz w:val="24"/>
          <w:szCs w:val="24"/>
        </w:rPr>
      </w:pPr>
      <w:r w:rsidRPr="00665054">
        <w:rPr>
          <w:rFonts w:ascii="Times New Roman" w:hAnsi="Times New Roman" w:cs="Times New Roman"/>
          <w:b/>
          <w:sz w:val="24"/>
          <w:szCs w:val="24"/>
        </w:rPr>
        <w:t>The Korean National Health and Nutrition Examination Survey 2008-2012</w:t>
      </w:r>
    </w:p>
    <w:p w:rsidR="00554FA7" w:rsidRPr="00554FA7" w:rsidRDefault="00554FA7" w:rsidP="00554FA7">
      <w:pPr>
        <w:pStyle w:val="a3"/>
        <w:spacing w:line="360" w:lineRule="auto"/>
        <w:jc w:val="left"/>
        <w:rPr>
          <w:rFonts w:ascii="Times New Roman" w:hAnsi="Times New Roman" w:cs="Times New Roman"/>
          <w:sz w:val="24"/>
          <w:szCs w:val="24"/>
        </w:rPr>
      </w:pPr>
    </w:p>
    <w:p w:rsidR="00554FA7" w:rsidRDefault="00554FA7" w:rsidP="00554FA7">
      <w:pPr>
        <w:pStyle w:val="a3"/>
        <w:spacing w:line="360" w:lineRule="auto"/>
        <w:jc w:val="left"/>
        <w:rPr>
          <w:rFonts w:ascii="Times New Roman" w:hAnsi="Times New Roman" w:cs="Times New Roman"/>
          <w:sz w:val="24"/>
          <w:szCs w:val="24"/>
        </w:rPr>
      </w:pPr>
      <w:r>
        <w:rPr>
          <w:rFonts w:ascii="Times New Roman" w:hAnsi="Times New Roman" w:cs="Times New Roman"/>
          <w:sz w:val="24"/>
          <w:szCs w:val="24"/>
        </w:rPr>
        <w:t xml:space="preserve"> </w:t>
      </w:r>
    </w:p>
    <w:p w:rsidR="00554FA7" w:rsidRPr="006043D6" w:rsidRDefault="00215068" w:rsidP="00554FA7">
      <w:pPr>
        <w:pStyle w:val="a3"/>
        <w:spacing w:line="360" w:lineRule="auto"/>
        <w:jc w:val="center"/>
        <w:rPr>
          <w:rFonts w:ascii="Times New Roman" w:hAnsi="Times New Roman" w:cs="Times New Roman"/>
          <w:sz w:val="24"/>
          <w:szCs w:val="24"/>
          <w:vertAlign w:val="superscript"/>
        </w:rPr>
      </w:pPr>
      <w:r>
        <w:rPr>
          <w:rFonts w:ascii="Times New Roman" w:hAnsi="Times New Roman" w:cs="Times New Roman"/>
          <w:sz w:val="24"/>
          <w:szCs w:val="24"/>
        </w:rPr>
        <w:t xml:space="preserve">Daniel </w:t>
      </w:r>
      <w:r w:rsidR="00554FA7" w:rsidRPr="006043D6">
        <w:rPr>
          <w:rFonts w:ascii="Times New Roman" w:hAnsi="Times New Roman" w:cs="Times New Roman"/>
          <w:sz w:val="24"/>
          <w:szCs w:val="24"/>
        </w:rPr>
        <w:t>Duck</w:t>
      </w:r>
      <w:r>
        <w:rPr>
          <w:rFonts w:ascii="Times New Roman" w:hAnsi="Times New Roman" w:cs="Times New Roman"/>
          <w:sz w:val="24"/>
          <w:szCs w:val="24"/>
        </w:rPr>
        <w:t>j</w:t>
      </w:r>
      <w:r w:rsidR="00554FA7" w:rsidRPr="006043D6">
        <w:rPr>
          <w:rFonts w:ascii="Times New Roman" w:hAnsi="Times New Roman" w:cs="Times New Roman"/>
          <w:sz w:val="24"/>
          <w:szCs w:val="24"/>
        </w:rPr>
        <w:t>in Hwang</w:t>
      </w:r>
      <w:r w:rsidR="00554FA7" w:rsidRPr="006043D6">
        <w:rPr>
          <w:rFonts w:ascii="Times New Roman" w:hAnsi="Times New Roman" w:cs="Times New Roman"/>
          <w:sz w:val="24"/>
          <w:szCs w:val="24"/>
          <w:vertAlign w:val="superscript"/>
        </w:rPr>
        <w:t>1,2,3</w:t>
      </w:r>
    </w:p>
    <w:p w:rsidR="00554FA7" w:rsidRPr="006043D6" w:rsidRDefault="00554FA7" w:rsidP="00554FA7">
      <w:pPr>
        <w:pStyle w:val="a3"/>
        <w:spacing w:line="360" w:lineRule="auto"/>
        <w:jc w:val="left"/>
        <w:rPr>
          <w:rFonts w:ascii="Times New Roman" w:hAnsi="Times New Roman" w:cs="Times New Roman"/>
          <w:sz w:val="24"/>
          <w:szCs w:val="24"/>
        </w:rPr>
      </w:pPr>
    </w:p>
    <w:p w:rsidR="00554FA7" w:rsidRPr="006043D6" w:rsidRDefault="00554FA7" w:rsidP="00554FA7">
      <w:pPr>
        <w:pStyle w:val="a3"/>
        <w:spacing w:line="360" w:lineRule="auto"/>
        <w:jc w:val="left"/>
        <w:rPr>
          <w:rFonts w:ascii="Times New Roman" w:hAnsi="Times New Roman" w:cs="Times New Roman"/>
          <w:sz w:val="24"/>
          <w:szCs w:val="24"/>
        </w:rPr>
      </w:pPr>
      <w:r>
        <w:rPr>
          <w:rFonts w:ascii="Times New Roman" w:hAnsi="Times New Roman" w:cs="Times New Roman"/>
          <w:sz w:val="24"/>
          <w:szCs w:val="24"/>
          <w:vertAlign w:val="superscript"/>
        </w:rPr>
        <w:t>1</w:t>
      </w:r>
      <w:r w:rsidRPr="006043D6">
        <w:rPr>
          <w:rFonts w:ascii="Times New Roman" w:hAnsi="Times New Roman" w:cs="Times New Roman"/>
          <w:sz w:val="24"/>
          <w:szCs w:val="24"/>
        </w:rPr>
        <w:t xml:space="preserve">Department of Biostatistics, Robert Stempel College of Public Health and Social Work, Florida International University, Miami, FL, USA. </w:t>
      </w:r>
    </w:p>
    <w:p w:rsidR="00554FA7" w:rsidRPr="006043D6" w:rsidRDefault="00554FA7" w:rsidP="00554FA7">
      <w:pPr>
        <w:pStyle w:val="a3"/>
        <w:spacing w:line="360" w:lineRule="auto"/>
        <w:jc w:val="left"/>
        <w:rPr>
          <w:rFonts w:ascii="Times New Roman" w:hAnsi="Times New Roman" w:cs="Times New Roman"/>
          <w:sz w:val="24"/>
          <w:szCs w:val="24"/>
        </w:rPr>
      </w:pPr>
      <w:r>
        <w:rPr>
          <w:rFonts w:ascii="Times New Roman" w:hAnsi="Times New Roman" w:cs="Times New Roman"/>
          <w:sz w:val="24"/>
          <w:szCs w:val="24"/>
          <w:vertAlign w:val="superscript"/>
        </w:rPr>
        <w:t>2</w:t>
      </w:r>
      <w:r w:rsidRPr="006043D6">
        <w:rPr>
          <w:rFonts w:ascii="Times New Roman" w:hAnsi="Times New Roman" w:cs="Times New Roman"/>
          <w:sz w:val="24"/>
          <w:szCs w:val="24"/>
        </w:rPr>
        <w:t>Department of Ophthalmology, HanGil Eye Hospital, Incheon, Korea.</w:t>
      </w:r>
    </w:p>
    <w:p w:rsidR="00554FA7" w:rsidRDefault="00554FA7" w:rsidP="00554FA7">
      <w:pPr>
        <w:pStyle w:val="a3"/>
        <w:spacing w:line="360" w:lineRule="auto"/>
        <w:jc w:val="left"/>
        <w:rPr>
          <w:rFonts w:ascii="Times New Roman" w:hAnsi="Times New Roman" w:cs="Times New Roman"/>
          <w:sz w:val="24"/>
          <w:szCs w:val="24"/>
        </w:rPr>
      </w:pPr>
      <w:r w:rsidRPr="006043D6">
        <w:rPr>
          <w:rFonts w:ascii="Times New Roman" w:hAnsi="Times New Roman" w:cs="Times New Roman"/>
          <w:sz w:val="24"/>
          <w:szCs w:val="24"/>
          <w:vertAlign w:val="superscript"/>
        </w:rPr>
        <w:t>3</w:t>
      </w:r>
      <w:r w:rsidRPr="006043D6">
        <w:rPr>
          <w:rFonts w:ascii="Times New Roman" w:hAnsi="Times New Roman" w:cs="Times New Roman"/>
          <w:sz w:val="24"/>
          <w:szCs w:val="24"/>
        </w:rPr>
        <w:t>Department of Ophthalmology, Catholic Kwandong University College of Medicine, Incheon, Korea</w:t>
      </w:r>
    </w:p>
    <w:p w:rsidR="00554FA7" w:rsidRDefault="00554FA7" w:rsidP="00554FA7">
      <w:pPr>
        <w:pStyle w:val="a3"/>
        <w:spacing w:line="360" w:lineRule="auto"/>
        <w:jc w:val="left"/>
        <w:rPr>
          <w:rFonts w:ascii="Times New Roman" w:hAnsi="Times New Roman" w:cs="Times New Roman"/>
          <w:sz w:val="24"/>
          <w:szCs w:val="24"/>
        </w:rPr>
      </w:pPr>
    </w:p>
    <w:p w:rsidR="00554FA7" w:rsidRPr="006043D6" w:rsidRDefault="00554FA7" w:rsidP="00554FA7">
      <w:pPr>
        <w:pStyle w:val="a3"/>
        <w:spacing w:line="360" w:lineRule="auto"/>
        <w:jc w:val="left"/>
        <w:rPr>
          <w:rFonts w:ascii="Times New Roman" w:hAnsi="Times New Roman" w:cs="Times New Roman"/>
          <w:sz w:val="24"/>
          <w:szCs w:val="24"/>
        </w:rPr>
      </w:pPr>
    </w:p>
    <w:p w:rsidR="00554FA7" w:rsidRPr="00FB266A" w:rsidRDefault="00554FA7" w:rsidP="00554FA7">
      <w:pPr>
        <w:pStyle w:val="a3"/>
        <w:spacing w:line="360" w:lineRule="auto"/>
        <w:jc w:val="left"/>
        <w:rPr>
          <w:rFonts w:ascii="Times New Roman" w:hAnsi="Times New Roman" w:cs="Times New Roman"/>
          <w:b/>
          <w:sz w:val="24"/>
          <w:szCs w:val="24"/>
        </w:rPr>
      </w:pPr>
      <w:r w:rsidRPr="00FB266A">
        <w:rPr>
          <w:rFonts w:ascii="Times New Roman" w:hAnsi="Times New Roman" w:cs="Times New Roman" w:hint="eastAsia"/>
          <w:b/>
          <w:sz w:val="24"/>
          <w:szCs w:val="24"/>
        </w:rPr>
        <w:t>&lt;B</w:t>
      </w:r>
      <w:r w:rsidRPr="00FB266A">
        <w:rPr>
          <w:rFonts w:ascii="Times New Roman" w:hAnsi="Times New Roman" w:cs="Times New Roman"/>
          <w:b/>
          <w:sz w:val="24"/>
          <w:szCs w:val="24"/>
        </w:rPr>
        <w:t>ackgrounds&gt;</w:t>
      </w:r>
    </w:p>
    <w:p w:rsidR="00554FA7" w:rsidRPr="00345AF9" w:rsidRDefault="00554FA7" w:rsidP="00554FA7">
      <w:pPr>
        <w:pStyle w:val="a3"/>
        <w:spacing w:line="360" w:lineRule="auto"/>
        <w:jc w:val="left"/>
        <w:rPr>
          <w:rFonts w:ascii="Times New Roman" w:hAnsi="Times New Roman" w:cs="Times New Roman"/>
          <w:sz w:val="24"/>
          <w:szCs w:val="24"/>
        </w:rPr>
      </w:pPr>
    </w:p>
    <w:p w:rsidR="00345AF9" w:rsidRPr="00345AF9" w:rsidRDefault="00345AF9" w:rsidP="00345AF9">
      <w:pPr>
        <w:spacing w:line="480" w:lineRule="auto"/>
        <w:ind w:firstLine="800"/>
        <w:rPr>
          <w:rFonts w:ascii="Times New Roman" w:hAnsi="Times New Roman" w:cs="Times New Roman"/>
          <w:sz w:val="24"/>
          <w:szCs w:val="24"/>
        </w:rPr>
      </w:pPr>
      <w:r w:rsidRPr="00345AF9">
        <w:rPr>
          <w:rFonts w:ascii="Times New Roman" w:hAnsi="Times New Roman" w:cs="Times New Roman"/>
          <w:sz w:val="24"/>
          <w:szCs w:val="24"/>
        </w:rPr>
        <w:t>DR) is a serious microvascular complication of diabetes and can result in considerable and sometimes irreversible loss of vision if left untreated. At its vision-threatening stage, DR can have a detrimental effect on several dimensions of quality of life (QoL). In Singapore, Malays with late stage DR were up to 12 times more likely to report reduced vision-specific functioning compared with those with no DR. Similarly, in Australians with types 1 and</w:t>
      </w:r>
      <w:r>
        <w:rPr>
          <w:rFonts w:ascii="Times New Roman" w:hAnsi="Times New Roman" w:cs="Times New Roman"/>
          <w:sz w:val="24"/>
          <w:szCs w:val="24"/>
        </w:rPr>
        <w:t xml:space="preserve"> </w:t>
      </w:r>
      <w:r w:rsidRPr="00345AF9">
        <w:rPr>
          <w:rFonts w:ascii="Times New Roman" w:hAnsi="Times New Roman" w:cs="Times New Roman"/>
          <w:sz w:val="24"/>
          <w:szCs w:val="24"/>
        </w:rPr>
        <w:t xml:space="preserve">2 diabetes, severe non-proliferative DR (NPDR) and proliferative DR (PDR) were independently associated with the presence of depressive symptoms compared with no or mild DR. </w:t>
      </w:r>
    </w:p>
    <w:p w:rsidR="00345AF9" w:rsidRPr="00345AF9" w:rsidRDefault="00345AF9" w:rsidP="00345AF9">
      <w:pPr>
        <w:spacing w:line="480" w:lineRule="auto"/>
        <w:ind w:firstLine="800"/>
        <w:rPr>
          <w:rFonts w:ascii="Times New Roman" w:hAnsi="Times New Roman" w:cs="Times New Roman"/>
          <w:sz w:val="24"/>
          <w:szCs w:val="24"/>
        </w:rPr>
      </w:pPr>
      <w:r w:rsidRPr="00345AF9">
        <w:rPr>
          <w:rFonts w:ascii="Times New Roman" w:hAnsi="Times New Roman" w:cs="Times New Roman"/>
          <w:sz w:val="24"/>
          <w:szCs w:val="24"/>
        </w:rPr>
        <w:t xml:space="preserve">As diabetes reaches epidemic proportions in Asia, including Singapore6 and China, the burden of DR will correspondingly increase, with the prevalence of VTDR estimated to triple by 2050. The impact of DR on QoL may differ in Asia compared with Western populations due to differences in healthcare systems, cultural, religious and environmental </w:t>
      </w:r>
      <w:r w:rsidRPr="00345AF9">
        <w:rPr>
          <w:rFonts w:ascii="Times New Roman" w:hAnsi="Times New Roman" w:cs="Times New Roman"/>
          <w:sz w:val="24"/>
          <w:szCs w:val="24"/>
        </w:rPr>
        <w:lastRenderedPageBreak/>
        <w:t>habits, people’s perceptions to illness and disease coping mechanisms. Therefore, understanding the DR-QoL relationship in Asians is important for prevention and rehabilitation strategies and the allocation of</w:t>
      </w:r>
      <w:r>
        <w:rPr>
          <w:rFonts w:ascii="Times New Roman" w:hAnsi="Times New Roman" w:cs="Times New Roman"/>
          <w:sz w:val="24"/>
          <w:szCs w:val="24"/>
        </w:rPr>
        <w:t xml:space="preserve"> </w:t>
      </w:r>
      <w:r w:rsidRPr="00345AF9">
        <w:rPr>
          <w:rFonts w:ascii="Times New Roman" w:hAnsi="Times New Roman" w:cs="Times New Roman"/>
          <w:sz w:val="24"/>
          <w:szCs w:val="24"/>
        </w:rPr>
        <w:t xml:space="preserve">resources. However, data on the comprehensive impact of DR on QoL at the population-based level are limited, with most data published using western populations. </w:t>
      </w:r>
    </w:p>
    <w:p w:rsidR="00345AF9" w:rsidRPr="00345AF9" w:rsidRDefault="00345AF9" w:rsidP="00345AF9">
      <w:pPr>
        <w:spacing w:line="480" w:lineRule="auto"/>
        <w:ind w:firstLine="800"/>
        <w:rPr>
          <w:rFonts w:ascii="Times New Roman" w:hAnsi="Times New Roman" w:cs="Times New Roman"/>
          <w:sz w:val="24"/>
          <w:szCs w:val="24"/>
        </w:rPr>
      </w:pPr>
      <w:r w:rsidRPr="00345AF9">
        <w:rPr>
          <w:rFonts w:ascii="Times New Roman" w:hAnsi="Times New Roman" w:cs="Times New Roman"/>
          <w:sz w:val="24"/>
          <w:szCs w:val="24"/>
        </w:rPr>
        <w:t>In this study, we will investigate the relationship between the severity of DR and QoL.</w:t>
      </w:r>
    </w:p>
    <w:p w:rsidR="00554FA7" w:rsidRPr="00345AF9" w:rsidRDefault="00554FA7" w:rsidP="00345AF9">
      <w:pPr>
        <w:pStyle w:val="a3"/>
        <w:spacing w:line="360" w:lineRule="auto"/>
        <w:jc w:val="left"/>
        <w:rPr>
          <w:rFonts w:ascii="Times New Roman" w:hAnsi="Times New Roman" w:cs="Times New Roman"/>
          <w:sz w:val="24"/>
          <w:szCs w:val="24"/>
        </w:rPr>
      </w:pPr>
    </w:p>
    <w:p w:rsidR="00554FA7" w:rsidRDefault="00554FA7" w:rsidP="00554FA7">
      <w:pPr>
        <w:pStyle w:val="a3"/>
        <w:spacing w:line="360" w:lineRule="auto"/>
        <w:jc w:val="left"/>
        <w:rPr>
          <w:rFonts w:ascii="Times New Roman" w:hAnsi="Times New Roman" w:cs="Times New Roman"/>
          <w:b/>
          <w:sz w:val="24"/>
          <w:szCs w:val="24"/>
        </w:rPr>
      </w:pPr>
    </w:p>
    <w:p w:rsidR="00554FA7" w:rsidRDefault="00554FA7" w:rsidP="00554FA7">
      <w:pPr>
        <w:pStyle w:val="a3"/>
        <w:spacing w:line="360" w:lineRule="auto"/>
        <w:jc w:val="left"/>
        <w:rPr>
          <w:rFonts w:ascii="Times New Roman" w:hAnsi="Times New Roman" w:cs="Times New Roman"/>
          <w:b/>
          <w:sz w:val="24"/>
          <w:szCs w:val="24"/>
        </w:rPr>
      </w:pPr>
    </w:p>
    <w:p w:rsidR="00554FA7" w:rsidRPr="00FB266A" w:rsidRDefault="00554FA7" w:rsidP="00554FA7">
      <w:pPr>
        <w:pStyle w:val="a3"/>
        <w:spacing w:line="360" w:lineRule="auto"/>
        <w:jc w:val="left"/>
        <w:rPr>
          <w:rFonts w:ascii="Times New Roman" w:hAnsi="Times New Roman" w:cs="Times New Roman"/>
          <w:b/>
          <w:sz w:val="24"/>
          <w:szCs w:val="24"/>
        </w:rPr>
      </w:pPr>
      <w:r w:rsidRPr="00FB266A">
        <w:rPr>
          <w:rFonts w:ascii="Times New Roman" w:hAnsi="Times New Roman" w:cs="Times New Roman"/>
          <w:b/>
          <w:sz w:val="24"/>
          <w:szCs w:val="24"/>
        </w:rPr>
        <w:t>&lt;Variables&gt;</w:t>
      </w:r>
    </w:p>
    <w:p w:rsidR="00554FA7" w:rsidRDefault="00554FA7" w:rsidP="00554FA7">
      <w:pPr>
        <w:pStyle w:val="a3"/>
        <w:spacing w:line="360" w:lineRule="auto"/>
        <w:jc w:val="left"/>
        <w:rPr>
          <w:rFonts w:ascii="Times New Roman" w:hAnsi="Times New Roman" w:cs="Times New Roman"/>
          <w:sz w:val="24"/>
          <w:szCs w:val="24"/>
        </w:rPr>
      </w:pPr>
    </w:p>
    <w:p w:rsidR="00554FA7" w:rsidRDefault="00554FA7" w:rsidP="00554FA7">
      <w:pPr>
        <w:pStyle w:val="a3"/>
        <w:spacing w:line="360" w:lineRule="auto"/>
        <w:jc w:val="left"/>
        <w:rPr>
          <w:rFonts w:ascii="Times New Roman" w:hAnsi="Times New Roman" w:cs="Times New Roman"/>
          <w:sz w:val="24"/>
          <w:szCs w:val="24"/>
        </w:rPr>
      </w:pPr>
      <w:r>
        <w:rPr>
          <w:rFonts w:ascii="Times New Roman" w:hAnsi="Times New Roman" w:cs="Times New Roman"/>
          <w:sz w:val="24"/>
          <w:szCs w:val="24"/>
        </w:rPr>
        <w:t>Age, sex</w:t>
      </w:r>
      <w:r w:rsidR="00345AF9">
        <w:rPr>
          <w:rFonts w:ascii="Times New Roman" w:hAnsi="Times New Roman" w:cs="Times New Roman"/>
          <w:sz w:val="24"/>
          <w:szCs w:val="24"/>
        </w:rPr>
        <w:t>,</w:t>
      </w:r>
      <w:r w:rsidR="00303BB0">
        <w:rPr>
          <w:rFonts w:ascii="Times New Roman" w:hAnsi="Times New Roman" w:cs="Times New Roman"/>
          <w:sz w:val="24"/>
          <w:szCs w:val="24"/>
        </w:rPr>
        <w:t xml:space="preserve"> </w:t>
      </w:r>
      <w:r w:rsidR="00303BB0">
        <w:rPr>
          <w:rFonts w:ascii="Times New Roman" w:hAnsi="Times New Roman" w:cs="Times New Roman"/>
          <w:sz w:val="24"/>
          <w:szCs w:val="24"/>
        </w:rPr>
        <w:t xml:space="preserve">DM, HTN, </w:t>
      </w:r>
      <w:r w:rsidR="00303BB0">
        <w:rPr>
          <w:rFonts w:ascii="Times New Roman" w:hAnsi="Times New Roman" w:cs="Times New Roman" w:hint="eastAsia"/>
          <w:sz w:val="24"/>
          <w:szCs w:val="24"/>
        </w:rPr>
        <w:t>D</w:t>
      </w:r>
      <w:r w:rsidR="00303BB0">
        <w:rPr>
          <w:rFonts w:ascii="Times New Roman" w:hAnsi="Times New Roman" w:cs="Times New Roman"/>
          <w:sz w:val="24"/>
          <w:szCs w:val="24"/>
        </w:rPr>
        <w:t>R severity, QOL(EQ-5D, EQ-VAS), education, income, occupation, smoking, alcohol, exercise, DM duration, DM control(HbA1c, glucose), marital status, chronic kidney disease, stroke, myocardial infaction or angina, arthritis,</w:t>
      </w:r>
      <w:r>
        <w:rPr>
          <w:rFonts w:ascii="Times New Roman" w:hAnsi="Times New Roman" w:cs="Times New Roman"/>
          <w:sz w:val="24"/>
          <w:szCs w:val="24"/>
        </w:rPr>
        <w:t xml:space="preserve"> </w:t>
      </w:r>
      <w:r w:rsidR="00303BB0">
        <w:rPr>
          <w:rFonts w:ascii="Times New Roman" w:hAnsi="Times New Roman" w:cs="Times New Roman"/>
          <w:sz w:val="24"/>
          <w:szCs w:val="24"/>
        </w:rPr>
        <w:t>BMI(kg/m</w:t>
      </w:r>
      <w:r w:rsidR="00303BB0" w:rsidRPr="00303BB0">
        <w:rPr>
          <w:rFonts w:ascii="Times New Roman" w:hAnsi="Times New Roman" w:cs="Times New Roman"/>
          <w:sz w:val="24"/>
          <w:szCs w:val="24"/>
          <w:vertAlign w:val="superscript"/>
        </w:rPr>
        <w:t>2</w:t>
      </w:r>
      <w:r w:rsidR="00303BB0">
        <w:rPr>
          <w:rFonts w:ascii="Times New Roman" w:hAnsi="Times New Roman" w:cs="Times New Roman"/>
          <w:sz w:val="24"/>
          <w:szCs w:val="24"/>
        </w:rPr>
        <w:t>), etc.</w:t>
      </w:r>
      <w:r w:rsidR="00345AF9">
        <w:rPr>
          <w:rFonts w:ascii="Times New Roman" w:hAnsi="Times New Roman" w:cs="Times New Roman"/>
          <w:sz w:val="24"/>
          <w:szCs w:val="24"/>
        </w:rPr>
        <w:t xml:space="preserve"> </w:t>
      </w:r>
    </w:p>
    <w:p w:rsidR="00554FA7" w:rsidRDefault="00554FA7" w:rsidP="00554FA7">
      <w:pPr>
        <w:pStyle w:val="a3"/>
        <w:spacing w:line="360" w:lineRule="auto"/>
        <w:jc w:val="left"/>
        <w:rPr>
          <w:rFonts w:ascii="Times New Roman" w:hAnsi="Times New Roman" w:cs="Times New Roman"/>
          <w:sz w:val="24"/>
          <w:szCs w:val="24"/>
        </w:rPr>
      </w:pPr>
    </w:p>
    <w:p w:rsidR="00554FA7" w:rsidRPr="00FB266A" w:rsidRDefault="00554FA7" w:rsidP="00554FA7">
      <w:pPr>
        <w:pStyle w:val="a3"/>
        <w:spacing w:line="360" w:lineRule="auto"/>
        <w:jc w:val="left"/>
        <w:rPr>
          <w:rFonts w:ascii="Times New Roman" w:hAnsi="Times New Roman" w:cs="Times New Roman"/>
          <w:sz w:val="24"/>
          <w:szCs w:val="24"/>
        </w:rPr>
      </w:pPr>
      <w:r>
        <w:rPr>
          <w:rFonts w:ascii="Times New Roman" w:hAnsi="Times New Roman" w:cs="Times New Roman"/>
          <w:sz w:val="24"/>
          <w:szCs w:val="24"/>
        </w:rPr>
        <w:t xml:space="preserve"> </w:t>
      </w:r>
    </w:p>
    <w:p w:rsidR="00554FA7" w:rsidRPr="00FB266A" w:rsidRDefault="00554FA7" w:rsidP="00554FA7">
      <w:pPr>
        <w:pStyle w:val="a3"/>
        <w:spacing w:line="360" w:lineRule="auto"/>
        <w:jc w:val="left"/>
        <w:rPr>
          <w:rFonts w:ascii="Times New Roman" w:hAnsi="Times New Roman" w:cs="Times New Roman"/>
          <w:b/>
          <w:sz w:val="24"/>
          <w:szCs w:val="24"/>
        </w:rPr>
      </w:pPr>
      <w:r w:rsidRPr="00FB266A">
        <w:rPr>
          <w:rFonts w:ascii="Times New Roman" w:hAnsi="Times New Roman" w:cs="Times New Roman" w:hint="eastAsia"/>
          <w:b/>
          <w:sz w:val="24"/>
          <w:szCs w:val="24"/>
        </w:rPr>
        <w:t>&lt;</w:t>
      </w:r>
      <w:r w:rsidRPr="00FB266A">
        <w:rPr>
          <w:rFonts w:ascii="Times New Roman" w:hAnsi="Times New Roman" w:cs="Times New Roman"/>
          <w:b/>
          <w:sz w:val="24"/>
          <w:szCs w:val="24"/>
        </w:rPr>
        <w:t>References&gt;</w:t>
      </w:r>
    </w:p>
    <w:p w:rsidR="00554FA7" w:rsidRPr="00E9621C" w:rsidRDefault="00554FA7" w:rsidP="00554FA7">
      <w:pPr>
        <w:pStyle w:val="a3"/>
        <w:spacing w:line="360" w:lineRule="auto"/>
        <w:jc w:val="left"/>
        <w:rPr>
          <w:rFonts w:ascii="Times New Roman" w:hAnsi="Times New Roman" w:cs="Times New Roman"/>
          <w:sz w:val="24"/>
          <w:szCs w:val="24"/>
        </w:rPr>
      </w:pP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1</w:t>
      </w:r>
      <w:r w:rsidR="00303BB0">
        <w:rPr>
          <w:rFonts w:ascii="Times New Roman" w:hAnsi="Times New Roman" w:cs="Times New Roman"/>
          <w:sz w:val="24"/>
          <w:szCs w:val="24"/>
        </w:rPr>
        <w:t>.</w:t>
      </w:r>
      <w:r w:rsidRPr="00345AF9">
        <w:rPr>
          <w:rFonts w:ascii="Times New Roman" w:hAnsi="Times New Roman" w:cs="Times New Roman"/>
          <w:sz w:val="24"/>
          <w:szCs w:val="24"/>
        </w:rPr>
        <w:t xml:space="preserve"> Cheung N, Mitchell P, Wong TY. Diabetic retinopathy. Lancet 2010;376:124–36.</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2</w:t>
      </w:r>
      <w:r w:rsidR="00303BB0">
        <w:rPr>
          <w:rFonts w:ascii="Times New Roman" w:hAnsi="Times New Roman" w:cs="Times New Roman"/>
          <w:sz w:val="24"/>
          <w:szCs w:val="24"/>
        </w:rPr>
        <w:t>.</w:t>
      </w:r>
      <w:r w:rsidRPr="00345AF9">
        <w:rPr>
          <w:rFonts w:ascii="Times New Roman" w:hAnsi="Times New Roman" w:cs="Times New Roman"/>
          <w:sz w:val="24"/>
          <w:szCs w:val="24"/>
        </w:rPr>
        <w:t xml:space="preserve"> Fenwick EK, Pesudovs K, Rees G, et al. The impact of diabetic retinopathy:</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understanding the patient’s perspective. Br J Ophthalmol 2011;95:774–82.</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3</w:t>
      </w:r>
      <w:r w:rsidR="00303BB0">
        <w:rPr>
          <w:rFonts w:ascii="Times New Roman" w:hAnsi="Times New Roman" w:cs="Times New Roman"/>
          <w:sz w:val="24"/>
          <w:szCs w:val="24"/>
        </w:rPr>
        <w:t>.</w:t>
      </w:r>
      <w:r w:rsidRPr="00345AF9">
        <w:rPr>
          <w:rFonts w:ascii="Times New Roman" w:hAnsi="Times New Roman" w:cs="Times New Roman"/>
          <w:sz w:val="24"/>
          <w:szCs w:val="24"/>
        </w:rPr>
        <w:t xml:space="preserve"> Fenwick E, Rees G, Pesudovs K, et al. Social and emotional impact of diabetic</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retinopathy: a review. Clin Exp Ophthalmol 2012;40:27–38.</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4</w:t>
      </w:r>
      <w:r w:rsidR="00303BB0">
        <w:rPr>
          <w:rFonts w:ascii="Times New Roman" w:hAnsi="Times New Roman" w:cs="Times New Roman"/>
          <w:sz w:val="24"/>
          <w:szCs w:val="24"/>
        </w:rPr>
        <w:t>.</w:t>
      </w:r>
      <w:r w:rsidRPr="00345AF9">
        <w:rPr>
          <w:rFonts w:ascii="Times New Roman" w:hAnsi="Times New Roman" w:cs="Times New Roman"/>
          <w:sz w:val="24"/>
          <w:szCs w:val="24"/>
        </w:rPr>
        <w:t xml:space="preserve"> Lamoureux EL, Tai ES, Thumboo J, et al. Impact of diabetic retinopathy on visionspecific</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function. Ophthalmology 2010;117:757–65.</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lastRenderedPageBreak/>
        <w:t>5</w:t>
      </w:r>
      <w:r w:rsidR="00303BB0">
        <w:rPr>
          <w:rFonts w:ascii="Times New Roman" w:hAnsi="Times New Roman" w:cs="Times New Roman"/>
          <w:sz w:val="24"/>
          <w:szCs w:val="24"/>
        </w:rPr>
        <w:t>.</w:t>
      </w:r>
      <w:r w:rsidRPr="00345AF9">
        <w:rPr>
          <w:rFonts w:ascii="Times New Roman" w:hAnsi="Times New Roman" w:cs="Times New Roman"/>
          <w:sz w:val="24"/>
          <w:szCs w:val="24"/>
        </w:rPr>
        <w:t xml:space="preserve"> Rees G, Xie J, Fenwick EK, et al. Association between diabetes-related eye</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complications and symptoms of anxiety and depression. JAMA Ophthalmol</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2016;134:1007–14.</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6</w:t>
      </w:r>
      <w:r w:rsidR="00303BB0">
        <w:rPr>
          <w:rFonts w:ascii="Times New Roman" w:hAnsi="Times New Roman" w:cs="Times New Roman"/>
          <w:sz w:val="24"/>
          <w:szCs w:val="24"/>
        </w:rPr>
        <w:t>.</w:t>
      </w:r>
      <w:r w:rsidRPr="00345AF9">
        <w:rPr>
          <w:rFonts w:ascii="Times New Roman" w:hAnsi="Times New Roman" w:cs="Times New Roman"/>
          <w:sz w:val="24"/>
          <w:szCs w:val="24"/>
        </w:rPr>
        <w:t xml:space="preserve"> International Diabetes Federation. IDF diabetes atlas. 7th edn. Brussels, Belgium:</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International Diabetes Federation, 2015.</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7</w:t>
      </w:r>
      <w:r w:rsidR="00303BB0">
        <w:rPr>
          <w:rFonts w:ascii="Times New Roman" w:hAnsi="Times New Roman" w:cs="Times New Roman"/>
          <w:sz w:val="24"/>
          <w:szCs w:val="24"/>
        </w:rPr>
        <w:t>.</w:t>
      </w:r>
      <w:r w:rsidRPr="00345AF9">
        <w:rPr>
          <w:rFonts w:ascii="Times New Roman" w:hAnsi="Times New Roman" w:cs="Times New Roman"/>
          <w:sz w:val="24"/>
          <w:szCs w:val="24"/>
        </w:rPr>
        <w:t xml:space="preserve"> Wang L, Gao P, Zhang M, et al. Prevalence and ethnic pattern of diabetes and</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prediabetes in china in 2013. JAMA 2017;317:2515–23.</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8</w:t>
      </w:r>
      <w:r w:rsidR="00303BB0">
        <w:rPr>
          <w:rFonts w:ascii="Times New Roman" w:hAnsi="Times New Roman" w:cs="Times New Roman"/>
          <w:sz w:val="24"/>
          <w:szCs w:val="24"/>
        </w:rPr>
        <w:t>.</w:t>
      </w:r>
      <w:r w:rsidRPr="00345AF9">
        <w:rPr>
          <w:rFonts w:ascii="Times New Roman" w:hAnsi="Times New Roman" w:cs="Times New Roman"/>
          <w:sz w:val="24"/>
          <w:szCs w:val="24"/>
        </w:rPr>
        <w:t xml:space="preserve"> Saaddine JB, Honeycutt AA, Narayan KM, et al. Projection of diabetic retinopathy and</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other major eye diseases among people with diabetes mellitus: United States, 2005-</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2050. Arch Ophthalmol 2008;126:1740–7.</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9</w:t>
      </w:r>
      <w:r w:rsidR="00303BB0">
        <w:rPr>
          <w:rFonts w:ascii="Times New Roman" w:hAnsi="Times New Roman" w:cs="Times New Roman"/>
          <w:sz w:val="24"/>
          <w:szCs w:val="24"/>
        </w:rPr>
        <w:t>.</w:t>
      </w:r>
      <w:r w:rsidRPr="00345AF9">
        <w:rPr>
          <w:rFonts w:ascii="Times New Roman" w:hAnsi="Times New Roman" w:cs="Times New Roman"/>
          <w:sz w:val="24"/>
          <w:szCs w:val="24"/>
        </w:rPr>
        <w:t xml:space="preserve"> Li L, Yang Y, He J, et al. Emotional suppression and depressive symptoms in women</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newly diagnosed with early breast cancer. BMC Womens Health 2015;15:91.</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10</w:t>
      </w:r>
      <w:r w:rsidR="00303BB0">
        <w:rPr>
          <w:rFonts w:ascii="Times New Roman" w:hAnsi="Times New Roman" w:cs="Times New Roman"/>
          <w:sz w:val="24"/>
          <w:szCs w:val="24"/>
        </w:rPr>
        <w:t>.</w:t>
      </w:r>
      <w:r w:rsidRPr="00345AF9">
        <w:rPr>
          <w:rFonts w:ascii="Times New Roman" w:hAnsi="Times New Roman" w:cs="Times New Roman"/>
          <w:sz w:val="24"/>
          <w:szCs w:val="24"/>
        </w:rPr>
        <w:t xml:space="preserve"> Broman AT, Munoz B, Rodriguez J, et al. The impact of visual impairment and eye</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disease on vision-related quality of life in a Mexican-American population: proyecto</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VER. Invest Ophthalmol Vis Sci 2002;43:3393–8.</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11</w:t>
      </w:r>
      <w:r w:rsidR="00303BB0">
        <w:rPr>
          <w:rFonts w:ascii="Times New Roman" w:hAnsi="Times New Roman" w:cs="Times New Roman"/>
          <w:sz w:val="24"/>
          <w:szCs w:val="24"/>
        </w:rPr>
        <w:t>.</w:t>
      </w:r>
      <w:r w:rsidRPr="00345AF9">
        <w:rPr>
          <w:rFonts w:ascii="Times New Roman" w:hAnsi="Times New Roman" w:cs="Times New Roman"/>
          <w:sz w:val="24"/>
          <w:szCs w:val="24"/>
        </w:rPr>
        <w:t xml:space="preserve"> Ahmadian L, Massof R. Does functional vision behave differently in low-vision</w:t>
      </w:r>
    </w:p>
    <w:p w:rsidR="00345AF9" w:rsidRPr="00345AF9" w:rsidRDefault="00345AF9" w:rsidP="00345AF9">
      <w:pPr>
        <w:spacing w:line="480" w:lineRule="auto"/>
        <w:rPr>
          <w:rFonts w:ascii="Times New Roman" w:hAnsi="Times New Roman" w:cs="Times New Roman"/>
          <w:sz w:val="24"/>
          <w:szCs w:val="24"/>
        </w:rPr>
      </w:pPr>
      <w:r w:rsidRPr="00345AF9">
        <w:rPr>
          <w:rFonts w:ascii="Times New Roman" w:hAnsi="Times New Roman" w:cs="Times New Roman"/>
          <w:sz w:val="24"/>
          <w:szCs w:val="24"/>
        </w:rPr>
        <w:t>patients with diabetic retinopathy?--A case-matched study. Invest Ophthalmol Vis Sci</w:t>
      </w:r>
    </w:p>
    <w:p w:rsidR="00554FA7" w:rsidRPr="00345AF9" w:rsidRDefault="00345AF9" w:rsidP="00345AF9">
      <w:pPr>
        <w:spacing w:line="480" w:lineRule="auto"/>
        <w:rPr>
          <w:rFonts w:ascii="Times New Roman" w:hAnsi="Times New Roman" w:cs="Times New Roman" w:hint="eastAsia"/>
          <w:sz w:val="24"/>
          <w:szCs w:val="24"/>
        </w:rPr>
      </w:pPr>
      <w:r w:rsidRPr="00345AF9">
        <w:rPr>
          <w:rFonts w:ascii="Times New Roman" w:hAnsi="Times New Roman" w:cs="Times New Roman"/>
          <w:sz w:val="24"/>
          <w:szCs w:val="24"/>
        </w:rPr>
        <w:t>2008;49:4051–7.</w:t>
      </w:r>
    </w:p>
    <w:p w:rsidR="00554FA7" w:rsidRDefault="00554FA7" w:rsidP="00665054">
      <w:pPr>
        <w:spacing w:line="480" w:lineRule="auto"/>
        <w:jc w:val="center"/>
        <w:rPr>
          <w:rFonts w:ascii="Times New Roman" w:hAnsi="Times New Roman" w:cs="Times New Roman"/>
          <w:b/>
          <w:sz w:val="24"/>
          <w:szCs w:val="24"/>
        </w:rPr>
      </w:pPr>
    </w:p>
    <w:sectPr w:rsidR="00554FA7">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1612C8"/>
    <w:multiLevelType w:val="hybridMultilevel"/>
    <w:tmpl w:val="36885224"/>
    <w:lvl w:ilvl="0" w:tplc="26389EF2">
      <w:start w:val="1"/>
      <w:numFmt w:val="decimal"/>
      <w:lvlText w:val="%1."/>
      <w:lvlJc w:val="left"/>
      <w:pPr>
        <w:ind w:left="1204" w:hanging="804"/>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320"/>
    <w:rsid w:val="000468CE"/>
    <w:rsid w:val="00215068"/>
    <w:rsid w:val="00303BB0"/>
    <w:rsid w:val="00345AF9"/>
    <w:rsid w:val="00554FA7"/>
    <w:rsid w:val="00665054"/>
    <w:rsid w:val="00AC5C9F"/>
    <w:rsid w:val="00B16320"/>
    <w:rsid w:val="00D12709"/>
    <w:rsid w:val="00DD5266"/>
    <w:rsid w:val="00E83E0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45990"/>
  <w15:chartTrackingRefBased/>
  <w15:docId w15:val="{862FF9DF-56E8-446A-8948-1C881E53B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468CE"/>
    <w:pPr>
      <w:widowControl w:val="0"/>
      <w:wordWrap w:val="0"/>
      <w:autoSpaceDE w:val="0"/>
      <w:autoSpaceDN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587</Words>
  <Characters>3351</Characters>
  <Application>Microsoft Office Word</Application>
  <DocSecurity>0</DocSecurity>
  <Lines>27</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Hwang Duck Jin</dc:creator>
  <cp:keywords/>
  <dc:description/>
  <cp:lastModifiedBy>Hwang Duck Jin</cp:lastModifiedBy>
  <cp:revision>5</cp:revision>
  <dcterms:created xsi:type="dcterms:W3CDTF">2018-11-06T03:07:00Z</dcterms:created>
  <dcterms:modified xsi:type="dcterms:W3CDTF">2018-11-06T03:34:00Z</dcterms:modified>
</cp:coreProperties>
</file>