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5658458"/>
        <w:docPartObj>
          <w:docPartGallery w:val="Cover Pages"/>
          <w:docPartUnique/>
        </w:docPartObj>
      </w:sdtPr>
      <w:sdtEndPr>
        <w:rPr>
          <w:rFonts w:ascii="Times New Roman" w:hAnsi="Times New Roman" w:cs="Times New Roman"/>
          <w:sz w:val="24"/>
          <w:szCs w:val="24"/>
        </w:rPr>
      </w:sdtEndPr>
      <w:sdtContent>
        <w:p w14:paraId="01D0D090" w14:textId="4FB9DF3E" w:rsidR="00D96F31" w:rsidRDefault="00D96F31" w:rsidP="001E0178">
          <w:pPr>
            <w:spacing w:line="240" w:lineRule="auto"/>
          </w:pPr>
          <w:r>
            <w:rPr>
              <w:noProof/>
            </w:rPr>
            <mc:AlternateContent>
              <mc:Choice Requires="wps">
                <w:drawing>
                  <wp:anchor distT="0" distB="0" distL="114300" distR="114300" simplePos="0" relativeHeight="251659264" behindDoc="0" locked="0" layoutInCell="1" allowOverlap="1" wp14:anchorId="10F5A02B" wp14:editId="28B634B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5757308" w14:textId="77777777" w:rsidR="00D96F31" w:rsidRDefault="00D96F31" w:rsidP="00D96F3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0F5A02B" id="_x0000_t202" coordsize="21600,21600" o:spt="202" path="m,l,21600r21600,l21600,xe">
                    <v:stroke joinstyle="miter"/>
                    <v:path gradientshapeok="t" o:connecttype="rect"/>
                  </v:shapetype>
                  <v:shape id="Text Box 153" o:spid="_x0000_s1026"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5757308" w14:textId="77777777" w:rsidR="00D96F31" w:rsidRDefault="00D96F31" w:rsidP="00D96F3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42DDCE7F" w14:textId="79080442" w:rsidR="00D96F31" w:rsidRPr="001E0178" w:rsidRDefault="000409FF" w:rsidP="001E0178">
          <w:pPr>
            <w:spacing w:line="240" w:lineRule="auto"/>
            <w:jc w:val="center"/>
            <w:rPr>
              <w:rFonts w:ascii="Times New Roman" w:hAnsi="Times New Roman" w:cs="Times New Roman"/>
              <w:sz w:val="32"/>
              <w:szCs w:val="32"/>
            </w:rPr>
          </w:pPr>
          <w:r w:rsidRPr="001E0178">
            <w:rPr>
              <w:rFonts w:ascii="Times New Roman" w:hAnsi="Times New Roman" w:cs="Times New Roman"/>
              <w:sz w:val="32"/>
              <w:szCs w:val="32"/>
            </w:rPr>
            <w:t xml:space="preserve">Mead Johnson Nutrition / Research Dietetic Practice Group Grant </w:t>
          </w:r>
        </w:p>
        <w:p w14:paraId="78441F2D" w14:textId="77777777" w:rsidR="001E0178" w:rsidRDefault="001E0178" w:rsidP="001E0178">
          <w:pPr>
            <w:pStyle w:val="BodyText"/>
            <w:spacing w:before="95"/>
            <w:ind w:left="111"/>
            <w:rPr>
              <w:sz w:val="22"/>
              <w:szCs w:val="22"/>
            </w:rPr>
          </w:pPr>
        </w:p>
        <w:p w14:paraId="4117F7E2" w14:textId="35076896" w:rsidR="0065031D" w:rsidRPr="004E359E" w:rsidRDefault="0065031D" w:rsidP="001E0178">
          <w:pPr>
            <w:pStyle w:val="BodyText"/>
            <w:spacing w:before="95"/>
            <w:ind w:left="111"/>
            <w:rPr>
              <w:sz w:val="22"/>
              <w:szCs w:val="22"/>
            </w:rPr>
          </w:pPr>
          <w:r w:rsidRPr="004E359E">
            <w:rPr>
              <w:sz w:val="22"/>
              <w:szCs w:val="22"/>
            </w:rPr>
            <w:t xml:space="preserve">Complete this form and email it with your proposal to </w:t>
          </w:r>
          <w:hyperlink r:id="rId7">
            <w:r w:rsidRPr="004E359E">
              <w:rPr>
                <w:sz w:val="22"/>
                <w:szCs w:val="22"/>
                <w:u w:val="single" w:color="735139"/>
              </w:rPr>
              <w:t>rdpgawards@gmail.com</w:t>
            </w:r>
            <w:r w:rsidRPr="004E359E">
              <w:rPr>
                <w:sz w:val="22"/>
                <w:szCs w:val="22"/>
              </w:rPr>
              <w:t xml:space="preserve"> </w:t>
            </w:r>
          </w:hyperlink>
          <w:r w:rsidRPr="004E359E">
            <w:rPr>
              <w:sz w:val="22"/>
              <w:szCs w:val="22"/>
            </w:rPr>
            <w:t>by June 1, 2021. Carefully follow the proposal instructions which are located with the award announcement on the RDPG website.</w:t>
          </w:r>
        </w:p>
        <w:p w14:paraId="7F104A6E" w14:textId="77777777" w:rsidR="004E359E" w:rsidRPr="004E359E" w:rsidRDefault="004E359E" w:rsidP="001E0178">
          <w:pPr>
            <w:spacing w:line="240" w:lineRule="auto"/>
            <w:rPr>
              <w:rFonts w:ascii="Times New Roman" w:hAnsi="Times New Roman" w:cs="Times New Roman"/>
            </w:rPr>
          </w:pPr>
        </w:p>
        <w:p w14:paraId="60527672" w14:textId="5A8D700B" w:rsidR="004E359E" w:rsidRPr="004E359E" w:rsidRDefault="0036159B" w:rsidP="001E0178">
          <w:pPr>
            <w:spacing w:line="240" w:lineRule="auto"/>
            <w:rPr>
              <w:rFonts w:ascii="Times New Roman" w:hAnsi="Times New Roman" w:cs="Times New Roman"/>
            </w:rPr>
          </w:pPr>
          <w:r w:rsidRPr="004E359E">
            <w:rPr>
              <w:rFonts w:ascii="Times New Roman" w:hAnsi="Times New Roman" w:cs="Times New Roman"/>
              <w:b/>
              <w:bCs/>
            </w:rPr>
            <w:t>Application Information</w:t>
          </w:r>
          <w:r w:rsidR="0065031D" w:rsidRPr="004E359E">
            <w:rPr>
              <w:rFonts w:ascii="Times New Roman" w:hAnsi="Times New Roman" w:cs="Times New Roman"/>
              <w:b/>
              <w:bCs/>
            </w:rPr>
            <w:t>:</w:t>
          </w:r>
          <w:r w:rsidR="004E359E" w:rsidRPr="004E359E">
            <w:rPr>
              <w:rFonts w:ascii="Times New Roman" w:hAnsi="Times New Roman" w:cs="Times New Roman"/>
            </w:rPr>
            <w:t xml:space="preserve"> Understanding the Effects Zinc May Have on Biological Aging, Longevity, and Inflammation</w:t>
          </w:r>
        </w:p>
        <w:p w14:paraId="5247C218" w14:textId="07E71033" w:rsidR="00D96F31" w:rsidRDefault="004E359E" w:rsidP="001E0178">
          <w:pPr>
            <w:spacing w:line="240" w:lineRule="auto"/>
            <w:rPr>
              <w:rFonts w:ascii="Times New Roman" w:hAnsi="Times New Roman" w:cs="Times New Roman"/>
            </w:rPr>
          </w:pPr>
          <w:r w:rsidRPr="004E359E">
            <w:rPr>
              <w:rFonts w:ascii="Times New Roman" w:hAnsi="Times New Roman" w:cs="Times New Roman"/>
              <w:b/>
              <w:bCs/>
            </w:rPr>
            <w:t>Full Name:</w:t>
          </w:r>
          <w:r>
            <w:rPr>
              <w:rFonts w:ascii="Times New Roman" w:hAnsi="Times New Roman" w:cs="Times New Roman"/>
              <w:b/>
              <w:bCs/>
            </w:rPr>
            <w:t xml:space="preserve"> </w:t>
          </w:r>
          <w:r w:rsidRPr="004E359E">
            <w:rPr>
              <w:rFonts w:ascii="Times New Roman" w:hAnsi="Times New Roman" w:cs="Times New Roman"/>
            </w:rPr>
            <w:t>Re</w:t>
          </w:r>
          <w:r>
            <w:rPr>
              <w:rFonts w:ascii="Times New Roman" w:hAnsi="Times New Roman" w:cs="Times New Roman"/>
            </w:rPr>
            <w:t xml:space="preserve">becca Lake, </w:t>
          </w:r>
          <w:r w:rsidR="0099173E">
            <w:rPr>
              <w:rFonts w:ascii="Times New Roman" w:hAnsi="Times New Roman" w:cs="Times New Roman"/>
            </w:rPr>
            <w:t>MS, RD</w:t>
          </w:r>
        </w:p>
        <w:p w14:paraId="46653078" w14:textId="686CF5A2" w:rsidR="0099173E" w:rsidRDefault="0099173E" w:rsidP="001E0178">
          <w:pPr>
            <w:spacing w:line="240" w:lineRule="auto"/>
            <w:rPr>
              <w:rFonts w:ascii="Times New Roman" w:hAnsi="Times New Roman" w:cs="Times New Roman"/>
            </w:rPr>
          </w:pPr>
          <w:r w:rsidRPr="0099173E">
            <w:rPr>
              <w:rFonts w:ascii="Times New Roman" w:hAnsi="Times New Roman" w:cs="Times New Roman"/>
              <w:b/>
              <w:bCs/>
            </w:rPr>
            <w:t>Street Address:</w:t>
          </w:r>
          <w:r>
            <w:rPr>
              <w:rFonts w:ascii="Times New Roman" w:hAnsi="Times New Roman" w:cs="Times New Roman"/>
              <w:b/>
              <w:bCs/>
            </w:rPr>
            <w:t xml:space="preserve"> </w:t>
          </w:r>
          <w:r>
            <w:rPr>
              <w:rFonts w:ascii="Times New Roman" w:hAnsi="Times New Roman" w:cs="Times New Roman"/>
            </w:rPr>
            <w:t>1030 SW 46</w:t>
          </w:r>
          <w:r w:rsidRPr="0099173E">
            <w:rPr>
              <w:rFonts w:ascii="Times New Roman" w:hAnsi="Times New Roman" w:cs="Times New Roman"/>
              <w:vertAlign w:val="superscript"/>
            </w:rPr>
            <w:t>th</w:t>
          </w:r>
          <w:r>
            <w:rPr>
              <w:rFonts w:ascii="Times New Roman" w:hAnsi="Times New Roman" w:cs="Times New Roman"/>
            </w:rPr>
            <w:t xml:space="preserve"> Ave.</w:t>
          </w:r>
          <w:r w:rsidR="001E0178">
            <w:rPr>
              <w:rFonts w:ascii="Times New Roman" w:hAnsi="Times New Roman" w:cs="Times New Roman"/>
            </w:rPr>
            <w:t xml:space="preserve"> </w:t>
          </w:r>
        </w:p>
        <w:p w14:paraId="37184475" w14:textId="5D39F57D" w:rsidR="001E0178" w:rsidRDefault="001E0178" w:rsidP="001E0178">
          <w:pPr>
            <w:spacing w:line="240" w:lineRule="auto"/>
            <w:rPr>
              <w:rFonts w:ascii="Times New Roman" w:hAnsi="Times New Roman" w:cs="Times New Roman"/>
            </w:rPr>
          </w:pPr>
          <w:r>
            <w:rPr>
              <w:rFonts w:ascii="Times New Roman" w:hAnsi="Times New Roman" w:cs="Times New Roman"/>
            </w:rPr>
            <w:t xml:space="preserve">                             Apt. 111</w:t>
          </w:r>
        </w:p>
        <w:p w14:paraId="138B9A13" w14:textId="5C5CC76D" w:rsidR="001E0178" w:rsidRDefault="001E0178" w:rsidP="001E0178">
          <w:pPr>
            <w:spacing w:line="240" w:lineRule="auto"/>
            <w:rPr>
              <w:rFonts w:ascii="Times New Roman" w:hAnsi="Times New Roman" w:cs="Times New Roman"/>
            </w:rPr>
          </w:pPr>
          <w:r>
            <w:rPr>
              <w:rFonts w:ascii="Times New Roman" w:hAnsi="Times New Roman" w:cs="Times New Roman"/>
            </w:rPr>
            <w:t xml:space="preserve">                             Pompano Beach, Florida 33069</w:t>
          </w:r>
        </w:p>
        <w:p w14:paraId="6E5B7AC5" w14:textId="2BC7C855" w:rsidR="001E0178" w:rsidRDefault="001E0178" w:rsidP="001E0178">
          <w:pPr>
            <w:spacing w:line="240" w:lineRule="auto"/>
            <w:rPr>
              <w:rFonts w:ascii="Times New Roman" w:hAnsi="Times New Roman" w:cs="Times New Roman"/>
            </w:rPr>
          </w:pPr>
          <w:r w:rsidRPr="001E0178">
            <w:rPr>
              <w:rFonts w:ascii="Times New Roman" w:hAnsi="Times New Roman" w:cs="Times New Roman"/>
              <w:b/>
              <w:bCs/>
            </w:rPr>
            <w:t>Organization:</w:t>
          </w:r>
          <w:r>
            <w:rPr>
              <w:rFonts w:ascii="Times New Roman" w:hAnsi="Times New Roman" w:cs="Times New Roman"/>
              <w:b/>
              <w:bCs/>
            </w:rPr>
            <w:t xml:space="preserve"> </w:t>
          </w:r>
          <w:r w:rsidRPr="001E0178">
            <w:rPr>
              <w:rFonts w:ascii="Times New Roman" w:hAnsi="Times New Roman" w:cs="Times New Roman"/>
            </w:rPr>
            <w:t>F</w:t>
          </w:r>
          <w:r>
            <w:rPr>
              <w:rFonts w:ascii="Times New Roman" w:hAnsi="Times New Roman" w:cs="Times New Roman"/>
            </w:rPr>
            <w:t>lorida International University</w:t>
          </w:r>
          <w:r w:rsidR="00D85661">
            <w:rPr>
              <w:rFonts w:ascii="Times New Roman" w:hAnsi="Times New Roman" w:cs="Times New Roman"/>
            </w:rPr>
            <w:t xml:space="preserve"> </w:t>
          </w:r>
        </w:p>
        <w:p w14:paraId="2A5D39D9" w14:textId="104BDD37" w:rsidR="00D85661" w:rsidRDefault="00D85661" w:rsidP="001E0178">
          <w:pPr>
            <w:spacing w:line="240" w:lineRule="auto"/>
            <w:rPr>
              <w:rFonts w:ascii="Times New Roman" w:hAnsi="Times New Roman" w:cs="Times New Roman"/>
            </w:rPr>
          </w:pPr>
          <w:r w:rsidRPr="00D85661">
            <w:rPr>
              <w:rFonts w:ascii="Times New Roman" w:hAnsi="Times New Roman" w:cs="Times New Roman"/>
              <w:b/>
              <w:bCs/>
            </w:rPr>
            <w:t>Title:</w:t>
          </w:r>
          <w:r>
            <w:rPr>
              <w:rFonts w:ascii="Times New Roman" w:hAnsi="Times New Roman" w:cs="Times New Roman"/>
            </w:rPr>
            <w:t xml:space="preserve"> Doctoral Student</w:t>
          </w:r>
        </w:p>
        <w:p w14:paraId="497246E5" w14:textId="55844A20" w:rsidR="000424C3" w:rsidRDefault="000424C3" w:rsidP="001E0178">
          <w:pPr>
            <w:spacing w:line="240" w:lineRule="auto"/>
            <w:rPr>
              <w:rFonts w:ascii="Times New Roman" w:hAnsi="Times New Roman" w:cs="Times New Roman"/>
            </w:rPr>
          </w:pPr>
          <w:r w:rsidRPr="000424C3">
            <w:rPr>
              <w:rFonts w:ascii="Times New Roman" w:hAnsi="Times New Roman" w:cs="Times New Roman"/>
              <w:b/>
              <w:bCs/>
            </w:rPr>
            <w:t>Phone Number</w:t>
          </w:r>
          <w:r>
            <w:rPr>
              <w:rFonts w:ascii="Times New Roman" w:hAnsi="Times New Roman" w:cs="Times New Roman"/>
              <w:b/>
              <w:bCs/>
            </w:rPr>
            <w:t xml:space="preserve">: </w:t>
          </w:r>
          <w:r w:rsidRPr="000424C3">
            <w:rPr>
              <w:rFonts w:ascii="Times New Roman" w:hAnsi="Times New Roman" w:cs="Times New Roman"/>
            </w:rPr>
            <w:t>305</w:t>
          </w:r>
          <w:r>
            <w:rPr>
              <w:rFonts w:ascii="Times New Roman" w:hAnsi="Times New Roman" w:cs="Times New Roman"/>
            </w:rPr>
            <w:t xml:space="preserve">-772-7336                                         </w:t>
          </w:r>
          <w:r w:rsidRPr="00EC356F">
            <w:rPr>
              <w:rFonts w:ascii="Times New Roman" w:hAnsi="Times New Roman" w:cs="Times New Roman"/>
              <w:b/>
              <w:bCs/>
            </w:rPr>
            <w:t>E</w:t>
          </w:r>
          <w:r w:rsidR="00EC356F" w:rsidRPr="00EC356F">
            <w:rPr>
              <w:rFonts w:ascii="Times New Roman" w:hAnsi="Times New Roman" w:cs="Times New Roman"/>
              <w:b/>
              <w:bCs/>
            </w:rPr>
            <w:t>-Mail Address</w:t>
          </w:r>
          <w:r w:rsidR="00EC356F">
            <w:rPr>
              <w:rFonts w:ascii="Times New Roman" w:hAnsi="Times New Roman" w:cs="Times New Roman"/>
              <w:b/>
              <w:bCs/>
            </w:rPr>
            <w:t xml:space="preserve">: </w:t>
          </w:r>
          <w:hyperlink r:id="rId8" w:history="1">
            <w:r w:rsidR="00572DFD" w:rsidRPr="00F12EBE">
              <w:rPr>
                <w:rStyle w:val="Hyperlink"/>
                <w:rFonts w:ascii="Times New Roman" w:hAnsi="Times New Roman" w:cs="Times New Roman"/>
              </w:rPr>
              <w:t>Rpazo001@fiu.edu</w:t>
            </w:r>
          </w:hyperlink>
        </w:p>
        <w:p w14:paraId="0181778B" w14:textId="5B20AF2A" w:rsidR="00572DFD" w:rsidRDefault="00572DFD" w:rsidP="001E0178">
          <w:pPr>
            <w:spacing w:line="240" w:lineRule="auto"/>
            <w:rPr>
              <w:rFonts w:ascii="Times New Roman" w:hAnsi="Times New Roman" w:cs="Times New Roman"/>
            </w:rPr>
          </w:pPr>
          <w:r w:rsidRPr="00572DFD">
            <w:rPr>
              <w:rFonts w:ascii="Times New Roman" w:hAnsi="Times New Roman" w:cs="Times New Roman"/>
              <w:b/>
              <w:bCs/>
            </w:rPr>
            <w:t>Academy Membership Number:</w:t>
          </w:r>
          <w:r>
            <w:rPr>
              <w:rFonts w:ascii="Times New Roman" w:hAnsi="Times New Roman" w:cs="Times New Roman"/>
              <w:b/>
              <w:bCs/>
            </w:rPr>
            <w:t xml:space="preserve"> </w:t>
          </w:r>
          <w:r>
            <w:rPr>
              <w:rFonts w:ascii="Times New Roman" w:hAnsi="Times New Roman" w:cs="Times New Roman"/>
            </w:rPr>
            <w:t xml:space="preserve">86111462                 </w:t>
          </w:r>
          <w:r w:rsidR="002F1675">
            <w:rPr>
              <w:rFonts w:ascii="Times New Roman" w:hAnsi="Times New Roman" w:cs="Times New Roman"/>
            </w:rPr>
            <w:t xml:space="preserve">   </w:t>
          </w:r>
          <w:r w:rsidR="002F1675" w:rsidRPr="002F1675">
            <w:rPr>
              <w:rFonts w:ascii="Times New Roman" w:hAnsi="Times New Roman" w:cs="Times New Roman"/>
              <w:b/>
              <w:bCs/>
            </w:rPr>
            <w:t>RDPG Member?</w:t>
          </w:r>
          <w:r w:rsidR="002F1675">
            <w:rPr>
              <w:rFonts w:ascii="Times New Roman" w:hAnsi="Times New Roman" w:cs="Times New Roman"/>
            </w:rPr>
            <w:t xml:space="preserve"> Yes</w:t>
          </w:r>
        </w:p>
        <w:p w14:paraId="2EC331FB" w14:textId="77777777" w:rsidR="005A6336" w:rsidRDefault="002F1675" w:rsidP="005A6336">
          <w:pPr>
            <w:spacing w:line="240" w:lineRule="auto"/>
            <w:rPr>
              <w:rFonts w:ascii="Times New Roman" w:hAnsi="Times New Roman" w:cs="Times New Roman"/>
            </w:rPr>
          </w:pPr>
          <w:r w:rsidRPr="00A85A76">
            <w:rPr>
              <w:rFonts w:ascii="Times New Roman" w:hAnsi="Times New Roman" w:cs="Times New Roman"/>
              <w:b/>
              <w:bCs/>
            </w:rPr>
            <w:t>Highest Degree Obtained</w:t>
          </w:r>
          <w:r w:rsidR="00A85A76" w:rsidRPr="00A85A76">
            <w:rPr>
              <w:rFonts w:ascii="Times New Roman" w:hAnsi="Times New Roman" w:cs="Times New Roman"/>
              <w:b/>
              <w:bCs/>
            </w:rPr>
            <w:t>:</w:t>
          </w:r>
          <w:r w:rsidR="00A85A76">
            <w:rPr>
              <w:rFonts w:ascii="Times New Roman" w:hAnsi="Times New Roman" w:cs="Times New Roman"/>
            </w:rPr>
            <w:t xml:space="preserve"> MS</w:t>
          </w:r>
          <w:r w:rsidR="002B1059">
            <w:rPr>
              <w:rFonts w:ascii="Times New Roman" w:hAnsi="Times New Roman" w:cs="Times New Roman"/>
            </w:rPr>
            <w:t xml:space="preserve">              </w:t>
          </w:r>
          <w:r w:rsidR="00403A55">
            <w:rPr>
              <w:rFonts w:ascii="Times New Roman" w:hAnsi="Times New Roman" w:cs="Times New Roman"/>
            </w:rPr>
            <w:t xml:space="preserve">   </w:t>
          </w:r>
          <w:r w:rsidR="00EC2098">
            <w:rPr>
              <w:rFonts w:ascii="Times New Roman" w:hAnsi="Times New Roman" w:cs="Times New Roman"/>
            </w:rPr>
            <w:t xml:space="preserve">                        </w:t>
          </w:r>
          <w:r w:rsidR="00EC2098" w:rsidRPr="00EC2098">
            <w:rPr>
              <w:rFonts w:ascii="Times New Roman" w:hAnsi="Times New Roman" w:cs="Times New Roman"/>
              <w:b/>
              <w:bCs/>
            </w:rPr>
            <w:t>Date of Highest Degree:</w:t>
          </w:r>
          <w:r w:rsidR="00EC2098">
            <w:rPr>
              <w:rFonts w:ascii="Times New Roman" w:hAnsi="Times New Roman" w:cs="Times New Roman"/>
            </w:rPr>
            <w:t xml:space="preserve"> August/2019</w:t>
          </w:r>
        </w:p>
        <w:p w14:paraId="5711BEAD" w14:textId="77777777" w:rsidR="005A6336" w:rsidRDefault="005A6336" w:rsidP="005A6336">
          <w:pPr>
            <w:spacing w:line="240" w:lineRule="auto"/>
            <w:rPr>
              <w:rFonts w:ascii="Times New Roman" w:hAnsi="Times New Roman" w:cs="Times New Roman"/>
            </w:rPr>
          </w:pPr>
        </w:p>
        <w:p w14:paraId="5FC461F2" w14:textId="56213206" w:rsidR="005A6336" w:rsidRPr="00430806" w:rsidRDefault="001E0178" w:rsidP="005A6336">
          <w:pPr>
            <w:spacing w:line="240" w:lineRule="auto"/>
            <w:rPr>
              <w:rFonts w:ascii="Times New Roman" w:hAnsi="Times New Roman" w:cs="Times New Roman"/>
            </w:rPr>
          </w:pPr>
          <w:r w:rsidRPr="00430806">
            <w:rPr>
              <w:rFonts w:ascii="Times New Roman" w:hAnsi="Times New Roman" w:cs="Times New Roman"/>
            </w:rPr>
            <w:t xml:space="preserve"> </w:t>
          </w:r>
        </w:p>
        <w:p w14:paraId="3C40C925" w14:textId="0BEE62B3" w:rsidR="001E0178" w:rsidRPr="0099173E" w:rsidRDefault="001E0178" w:rsidP="00D96F31">
          <w:pPr>
            <w:spacing w:line="360" w:lineRule="auto"/>
            <w:rPr>
              <w:rFonts w:ascii="Times New Roman" w:hAnsi="Times New Roman" w:cs="Times New Roman"/>
            </w:rPr>
          </w:pPr>
        </w:p>
        <w:p w14:paraId="3311E1B3" w14:textId="77777777" w:rsidR="00D96F31" w:rsidRPr="00DE50CE" w:rsidRDefault="00D96F31" w:rsidP="00D96F31">
          <w:pPr>
            <w:spacing w:line="360" w:lineRule="auto"/>
            <w:jc w:val="center"/>
            <w:rPr>
              <w:rFonts w:ascii="Times New Roman" w:hAnsi="Times New Roman" w:cs="Times New Roman"/>
              <w:sz w:val="24"/>
              <w:szCs w:val="24"/>
            </w:rPr>
          </w:pPr>
        </w:p>
        <w:p w14:paraId="500C6B4A" w14:textId="77777777" w:rsidR="00D96F31" w:rsidRPr="00DE50CE" w:rsidRDefault="00D96F31" w:rsidP="00D96F31">
          <w:pPr>
            <w:spacing w:line="360" w:lineRule="auto"/>
            <w:rPr>
              <w:rFonts w:ascii="Times New Roman" w:hAnsi="Times New Roman" w:cs="Times New Roman"/>
              <w:sz w:val="24"/>
              <w:szCs w:val="24"/>
            </w:rPr>
          </w:pPr>
        </w:p>
        <w:p w14:paraId="077CD8DE" w14:textId="77777777" w:rsidR="00D96F31" w:rsidRDefault="00D96F31" w:rsidP="00D96F31">
          <w:pPr>
            <w:spacing w:line="360" w:lineRule="auto"/>
            <w:jc w:val="center"/>
            <w:rPr>
              <w:rFonts w:ascii="Times New Roman" w:hAnsi="Times New Roman" w:cs="Times New Roman"/>
              <w:sz w:val="28"/>
              <w:szCs w:val="28"/>
            </w:rPr>
          </w:pPr>
        </w:p>
        <w:p w14:paraId="0B0FB438" w14:textId="38E32125" w:rsidR="00D96F31" w:rsidRDefault="00D96F31" w:rsidP="00D96F31">
          <w:pPr>
            <w:rPr>
              <w:rFonts w:ascii="Times New Roman" w:hAnsi="Times New Roman" w:cs="Times New Roman"/>
              <w:sz w:val="32"/>
              <w:szCs w:val="32"/>
            </w:rPr>
          </w:pPr>
        </w:p>
        <w:p w14:paraId="7C7B4CEC" w14:textId="2142FAB0" w:rsidR="00852009" w:rsidRDefault="00852009" w:rsidP="00D96F31">
          <w:pPr>
            <w:rPr>
              <w:rFonts w:ascii="Times New Roman" w:hAnsi="Times New Roman" w:cs="Times New Roman"/>
              <w:sz w:val="32"/>
              <w:szCs w:val="32"/>
            </w:rPr>
          </w:pPr>
        </w:p>
        <w:p w14:paraId="2197FCA5" w14:textId="5EC3FD16" w:rsidR="00852009" w:rsidRDefault="00852009" w:rsidP="00D96F31">
          <w:pPr>
            <w:rPr>
              <w:rFonts w:ascii="Times New Roman" w:hAnsi="Times New Roman" w:cs="Times New Roman"/>
              <w:sz w:val="32"/>
              <w:szCs w:val="32"/>
            </w:rPr>
          </w:pPr>
        </w:p>
        <w:p w14:paraId="1FD12935" w14:textId="77777777" w:rsidR="00852009" w:rsidRDefault="00852009" w:rsidP="00D96F31"/>
        <w:p w14:paraId="748173E0" w14:textId="77777777" w:rsidR="00D96F31" w:rsidRPr="00031A83" w:rsidRDefault="00D96F31" w:rsidP="00D96F31">
          <w:pPr>
            <w:rPr>
              <w:sz w:val="28"/>
              <w:szCs w:val="28"/>
            </w:rPr>
          </w:pPr>
          <w:r w:rsidRPr="00031A83">
            <w:rPr>
              <w:rFonts w:ascii="Times New Roman" w:hAnsi="Times New Roman" w:cs="Times New Roman"/>
              <w:b/>
              <w:bCs/>
              <w:sz w:val="28"/>
              <w:szCs w:val="28"/>
            </w:rPr>
            <w:lastRenderedPageBreak/>
            <w:t>Introduction</w:t>
          </w:r>
        </w:p>
        <w:p w14:paraId="254746AC" w14:textId="77777777"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 Zinc, an essential micronutrient associated with the immune system, is known to play a role in the regulation of in biological aging, although its full effect is unclear</w:t>
          </w:r>
          <w:r>
            <w:rPr>
              <w:rFonts w:ascii="Times New Roman" w:hAnsi="Times New Roman" w:cs="Times New Roman"/>
              <w:sz w:val="24"/>
              <w:szCs w:val="24"/>
              <w:vertAlign w:val="superscript"/>
            </w:rPr>
            <w:t>1</w:t>
          </w:r>
          <w:r w:rsidRPr="00031A83">
            <w:rPr>
              <w:rFonts w:ascii="Times New Roman" w:hAnsi="Times New Roman" w:cs="Times New Roman"/>
              <w:sz w:val="24"/>
              <w:szCs w:val="24"/>
            </w:rPr>
            <w:t>. Autophagy is a protective mechanism that disposes of cellular debris such as accumulated lipid droplets, damaged mitochondria, inflammasomes, and other proteins and organelles.</w:t>
          </w:r>
          <w:r w:rsidRPr="00031A83">
            <w:rPr>
              <w:rFonts w:ascii="Times New Roman" w:hAnsi="Times New Roman" w:cs="Times New Roman"/>
              <w:sz w:val="24"/>
              <w:szCs w:val="24"/>
              <w:vertAlign w:val="superscript"/>
            </w:rPr>
            <w:t>1</w:t>
          </w:r>
          <w:r w:rsidRPr="00031A83">
            <w:rPr>
              <w:rFonts w:ascii="Times New Roman" w:hAnsi="Times New Roman" w:cs="Times New Roman"/>
              <w:sz w:val="24"/>
              <w:szCs w:val="24"/>
            </w:rPr>
            <w:t xml:space="preserve"> Autophagy has been linked to both longevity and biological aging in numerous studies and it falls under the hallmark “loss of proteostasis”, which is one of the nine official hallmarks of the aging process and is considered one of the primary hallmarks of aging.</w:t>
          </w:r>
          <w:r w:rsidRPr="00031A83">
            <w:rPr>
              <w:rFonts w:ascii="Times New Roman" w:hAnsi="Times New Roman" w:cs="Times New Roman"/>
              <w:sz w:val="24"/>
              <w:szCs w:val="24"/>
              <w:vertAlign w:val="superscript"/>
            </w:rPr>
            <w:t>2-5</w:t>
          </w:r>
          <w:r w:rsidRPr="00031A83">
            <w:rPr>
              <w:rFonts w:ascii="Times New Roman" w:hAnsi="Times New Roman" w:cs="Times New Roman"/>
              <w:sz w:val="24"/>
              <w:szCs w:val="24"/>
            </w:rPr>
            <w:t xml:space="preserve"> Several longevity/ biological aging pathways have been found to interface with autophagy via dietary/ caloric restriction, exercise or exposure to rapamycin or even alcohol.</w:t>
          </w:r>
          <w:r w:rsidRPr="00031A83">
            <w:rPr>
              <w:rFonts w:ascii="Times New Roman" w:hAnsi="Times New Roman" w:cs="Times New Roman"/>
              <w:sz w:val="24"/>
              <w:szCs w:val="24"/>
              <w:vertAlign w:val="superscript"/>
            </w:rPr>
            <w:t xml:space="preserve">3-6 </w:t>
          </w:r>
          <w:r w:rsidRPr="00031A83">
            <w:rPr>
              <w:rFonts w:ascii="Times New Roman" w:hAnsi="Times New Roman" w:cs="Times New Roman"/>
              <w:sz w:val="24"/>
              <w:szCs w:val="24"/>
            </w:rPr>
            <w:t>In addition to autophagy, zinc may regulate the expression of microRNA , the modulation of methylated genes and suppress the inflammatory response of inflammasome agonist.</w:t>
          </w:r>
          <w:r w:rsidRPr="00031A83">
            <w:rPr>
              <w:rFonts w:ascii="Times New Roman" w:hAnsi="Times New Roman" w:cs="Times New Roman"/>
              <w:sz w:val="24"/>
              <w:szCs w:val="24"/>
              <w:vertAlign w:val="superscript"/>
            </w:rPr>
            <w:t xml:space="preserve">1-2 </w:t>
          </w:r>
          <w:r w:rsidRPr="00031A83">
            <w:rPr>
              <w:rFonts w:ascii="Times New Roman" w:hAnsi="Times New Roman" w:cs="Times New Roman"/>
              <w:sz w:val="24"/>
              <w:szCs w:val="24"/>
            </w:rPr>
            <w:t xml:space="preserve"> Due to its ability to influence human health, it is imperative to study how biological aging interfaces with the micronutrient zinc and examine the possible implications that may arise from this relationship as it relates to longevity. </w:t>
          </w:r>
        </w:p>
        <w:p w14:paraId="3A6EF659" w14:textId="77777777" w:rsidR="00D96F31" w:rsidRPr="00031A83" w:rsidRDefault="00D96F31" w:rsidP="00D96F31">
          <w:pPr>
            <w:spacing w:line="240" w:lineRule="auto"/>
            <w:rPr>
              <w:rFonts w:ascii="Times New Roman" w:hAnsi="Times New Roman" w:cs="Times New Roman"/>
              <w:b/>
              <w:bCs/>
              <w:sz w:val="28"/>
              <w:szCs w:val="28"/>
            </w:rPr>
          </w:pPr>
          <w:r w:rsidRPr="00031A83">
            <w:rPr>
              <w:rFonts w:ascii="Times New Roman" w:hAnsi="Times New Roman" w:cs="Times New Roman"/>
              <w:b/>
              <w:bCs/>
              <w:sz w:val="28"/>
              <w:szCs w:val="28"/>
            </w:rPr>
            <w:t>Background</w:t>
          </w:r>
        </w:p>
        <w:p w14:paraId="4DED8135" w14:textId="77777777" w:rsidR="00D96F31" w:rsidRPr="00031A83" w:rsidRDefault="00D96F31" w:rsidP="00D96F31">
          <w:pPr>
            <w:spacing w:line="240" w:lineRule="auto"/>
            <w:ind w:firstLine="720"/>
            <w:rPr>
              <w:rFonts w:ascii="Times New Roman" w:hAnsi="Times New Roman" w:cs="Times New Roman"/>
              <w:kern w:val="36"/>
              <w:sz w:val="24"/>
              <w:szCs w:val="24"/>
              <w:vertAlign w:val="superscript"/>
            </w:rPr>
          </w:pPr>
          <w:r w:rsidRPr="00031A83">
            <w:rPr>
              <w:rFonts w:ascii="Times New Roman" w:hAnsi="Times New Roman" w:cs="Times New Roman"/>
              <w:kern w:val="36"/>
              <w:sz w:val="24"/>
              <w:szCs w:val="24"/>
            </w:rPr>
            <w:t>Zinc has been known to play an important role in human health since the 1960s as individuals diagnosed with zinc deficiency had increased susceptibility to infections due to the dysfunction of their humoral and cell-mediated immune response.</w:t>
          </w:r>
          <w:r w:rsidRPr="00031A83">
            <w:rPr>
              <w:rFonts w:ascii="Times New Roman" w:hAnsi="Times New Roman" w:cs="Times New Roman"/>
              <w:kern w:val="36"/>
              <w:sz w:val="24"/>
              <w:szCs w:val="24"/>
              <w:vertAlign w:val="superscript"/>
            </w:rPr>
            <w:t>7</w:t>
          </w:r>
          <w:r w:rsidRPr="00031A83">
            <w:rPr>
              <w:rFonts w:ascii="Times New Roman" w:hAnsi="Times New Roman" w:cs="Times New Roman"/>
              <w:kern w:val="36"/>
              <w:sz w:val="24"/>
              <w:szCs w:val="24"/>
            </w:rPr>
            <w:t xml:space="preserve"> As humans age, the immune response becomes compromised and the number of senescent cells increases; this decreases metallothionein (a protein that sequesters and releases zinc) expression and lowers the amount of available intracellular zinc needed to repair damaged DNA.</w:t>
          </w:r>
          <w:r w:rsidRPr="00031A83">
            <w:rPr>
              <w:rFonts w:ascii="Times New Roman" w:hAnsi="Times New Roman" w:cs="Times New Roman"/>
              <w:kern w:val="36"/>
              <w:sz w:val="24"/>
              <w:szCs w:val="24"/>
              <w:vertAlign w:val="superscript"/>
            </w:rPr>
            <w:t>7</w:t>
          </w:r>
          <w:r w:rsidRPr="00031A83">
            <w:rPr>
              <w:rFonts w:ascii="Times New Roman" w:hAnsi="Times New Roman" w:cs="Times New Roman"/>
              <w:kern w:val="36"/>
              <w:sz w:val="24"/>
              <w:szCs w:val="24"/>
            </w:rPr>
            <w:t xml:space="preserve"> This process is considered an antagonistic hallmark of biological aging and it is likely responding to a primary cause.</w:t>
          </w:r>
          <w:r w:rsidRPr="00031A83">
            <w:rPr>
              <w:rFonts w:ascii="Times New Roman" w:hAnsi="Times New Roman" w:cs="Times New Roman"/>
              <w:kern w:val="36"/>
              <w:sz w:val="24"/>
              <w:szCs w:val="24"/>
              <w:vertAlign w:val="superscript"/>
            </w:rPr>
            <w:t xml:space="preserve">2 </w:t>
          </w:r>
        </w:p>
        <w:p w14:paraId="2B82B608" w14:textId="77777777" w:rsidR="00D96F31" w:rsidRPr="00031A83" w:rsidRDefault="00D96F31" w:rsidP="00D96F31">
          <w:pPr>
            <w:spacing w:line="240" w:lineRule="auto"/>
            <w:ind w:firstLine="720"/>
            <w:rPr>
              <w:rFonts w:ascii="Times New Roman" w:hAnsi="Times New Roman" w:cs="Times New Roman"/>
              <w:kern w:val="36"/>
              <w:sz w:val="24"/>
              <w:szCs w:val="24"/>
            </w:rPr>
          </w:pPr>
          <w:r w:rsidRPr="00031A83">
            <w:rPr>
              <w:rFonts w:ascii="Times New Roman" w:hAnsi="Times New Roman" w:cs="Times New Roman"/>
              <w:kern w:val="36"/>
              <w:sz w:val="24"/>
              <w:szCs w:val="24"/>
            </w:rPr>
            <w:t>Autophagy regulates cellular senescence at mTORC1 and zinc may regulate autophagy at both the initiation of this complex and during the degradation of the cargo in the autolysosome.</w:t>
          </w:r>
          <w:r w:rsidRPr="00031A83">
            <w:rPr>
              <w:rFonts w:ascii="Times New Roman" w:hAnsi="Times New Roman" w:cs="Times New Roman"/>
              <w:kern w:val="36"/>
              <w:sz w:val="24"/>
              <w:szCs w:val="24"/>
              <w:vertAlign w:val="superscript"/>
            </w:rPr>
            <w:t xml:space="preserve">1,8 </w:t>
          </w:r>
          <w:r w:rsidRPr="00031A83">
            <w:rPr>
              <w:rFonts w:ascii="Times New Roman" w:hAnsi="Times New Roman" w:cs="Times New Roman"/>
              <w:kern w:val="36"/>
              <w:sz w:val="24"/>
              <w:szCs w:val="24"/>
            </w:rPr>
            <w:t xml:space="preserve">In </w:t>
          </w:r>
          <w:r w:rsidRPr="00031A83">
            <w:rPr>
              <w:rFonts w:ascii="Times New Roman" w:hAnsi="Times New Roman" w:cs="Times New Roman"/>
              <w:i/>
              <w:iCs/>
              <w:kern w:val="36"/>
              <w:sz w:val="24"/>
              <w:szCs w:val="24"/>
            </w:rPr>
            <w:t xml:space="preserve">C. Elegans, </w:t>
          </w:r>
          <w:r w:rsidRPr="00031A83">
            <w:rPr>
              <w:rFonts w:ascii="Times New Roman" w:hAnsi="Times New Roman" w:cs="Times New Roman"/>
              <w:kern w:val="36"/>
              <w:sz w:val="24"/>
              <w:szCs w:val="24"/>
            </w:rPr>
            <w:t>excessive concentrations of zinc had been found to decrease lifespan through the IGF-1 insulin pathway (mTORC1 affiliated pathway), which is well known to inhibit autophay.</w:t>
          </w:r>
          <w:r w:rsidRPr="00031A83">
            <w:rPr>
              <w:rFonts w:ascii="Times New Roman" w:hAnsi="Times New Roman" w:cs="Times New Roman"/>
              <w:kern w:val="36"/>
              <w:sz w:val="24"/>
              <w:szCs w:val="24"/>
              <w:vertAlign w:val="superscript"/>
            </w:rPr>
            <w:t>8-10</w:t>
          </w:r>
          <w:r w:rsidRPr="00031A83">
            <w:rPr>
              <w:rFonts w:ascii="Times New Roman" w:hAnsi="Times New Roman" w:cs="Times New Roman"/>
              <w:kern w:val="36"/>
              <w:sz w:val="24"/>
              <w:szCs w:val="24"/>
            </w:rPr>
            <w:t xml:space="preserve"> In mice models, zinc supplementation has shown to prevent or delay age- related, cell-mediated immune responses and increase lifespan.</w:t>
          </w:r>
          <w:r w:rsidRPr="00031A83">
            <w:rPr>
              <w:rFonts w:ascii="Times New Roman" w:hAnsi="Times New Roman" w:cs="Times New Roman"/>
              <w:kern w:val="36"/>
              <w:sz w:val="24"/>
              <w:szCs w:val="24"/>
              <w:vertAlign w:val="superscript"/>
            </w:rPr>
            <w:t>11-12</w:t>
          </w:r>
          <w:r w:rsidRPr="00031A83">
            <w:rPr>
              <w:rFonts w:ascii="Times New Roman" w:hAnsi="Times New Roman" w:cs="Times New Roman"/>
              <w:kern w:val="36"/>
              <w:sz w:val="24"/>
              <w:szCs w:val="24"/>
            </w:rPr>
            <w:t xml:space="preserve"> For example, if the mice were supplemented from the presenescent age, defined as 12- 14 months, they had an increased rate of survival and lifespan (up to 33 months) compared to the control; this, in part, was due to a significant reduction of death in middle age because they avoided acquiring cancer.</w:t>
          </w:r>
          <w:r w:rsidRPr="00031A83">
            <w:rPr>
              <w:rFonts w:ascii="Times New Roman" w:hAnsi="Times New Roman" w:cs="Times New Roman"/>
              <w:kern w:val="36"/>
              <w:sz w:val="24"/>
              <w:szCs w:val="24"/>
              <w:vertAlign w:val="superscript"/>
            </w:rPr>
            <w:t>11-12</w:t>
          </w:r>
          <w:r w:rsidRPr="00031A83">
            <w:rPr>
              <w:rFonts w:ascii="Times New Roman" w:hAnsi="Times New Roman" w:cs="Times New Roman"/>
              <w:kern w:val="36"/>
              <w:sz w:val="24"/>
              <w:szCs w:val="24"/>
            </w:rPr>
            <w:t xml:space="preserve"> Turning to humans, the research has been mixed, but some studies suggest that zinc supplementation has been moderately associated with better immune responses to various pathogens and better health outcomes in the elderly.</w:t>
          </w:r>
          <w:r w:rsidRPr="00031A83">
            <w:rPr>
              <w:rFonts w:ascii="Times New Roman" w:hAnsi="Times New Roman" w:cs="Times New Roman"/>
              <w:kern w:val="36"/>
              <w:sz w:val="24"/>
              <w:szCs w:val="24"/>
              <w:vertAlign w:val="superscript"/>
            </w:rPr>
            <w:t>7</w:t>
          </w:r>
        </w:p>
        <w:p w14:paraId="508E1A56" w14:textId="77777777" w:rsidR="00D96F31" w:rsidRPr="00031A83" w:rsidRDefault="00D96F31" w:rsidP="00D96F31">
          <w:pPr>
            <w:spacing w:line="240" w:lineRule="auto"/>
            <w:ind w:firstLine="720"/>
            <w:rPr>
              <w:rFonts w:ascii="Times New Roman" w:hAnsi="Times New Roman" w:cs="Times New Roman"/>
              <w:kern w:val="36"/>
              <w:sz w:val="24"/>
              <w:szCs w:val="24"/>
            </w:rPr>
          </w:pPr>
          <w:r w:rsidRPr="00031A83">
            <w:rPr>
              <w:rFonts w:ascii="Times New Roman" w:hAnsi="Times New Roman" w:cs="Times New Roman"/>
              <w:kern w:val="36"/>
              <w:sz w:val="24"/>
              <w:szCs w:val="24"/>
            </w:rPr>
            <w:t xml:space="preserve">Zinc metabolism and tolerance may be, in part, influenced by an organism’s genetic makeup. In both humans and </w:t>
          </w:r>
          <w:r w:rsidRPr="00031A83">
            <w:rPr>
              <w:rFonts w:ascii="Times New Roman" w:hAnsi="Times New Roman" w:cs="Times New Roman"/>
              <w:i/>
              <w:iCs/>
              <w:kern w:val="36"/>
              <w:sz w:val="24"/>
              <w:szCs w:val="24"/>
            </w:rPr>
            <w:t xml:space="preserve">C. elegans, </w:t>
          </w:r>
          <w:r w:rsidRPr="00031A83">
            <w:rPr>
              <w:rFonts w:ascii="Times New Roman" w:hAnsi="Times New Roman" w:cs="Times New Roman"/>
              <w:kern w:val="36"/>
              <w:sz w:val="24"/>
              <w:szCs w:val="24"/>
            </w:rPr>
            <w:t>single nucleotide polymorphisms or SNPs have been identified that relate to zinc.</w:t>
          </w:r>
          <w:r w:rsidRPr="00031A83">
            <w:rPr>
              <w:rFonts w:ascii="Times New Roman" w:hAnsi="Times New Roman" w:cs="Times New Roman"/>
              <w:kern w:val="36"/>
              <w:sz w:val="24"/>
              <w:szCs w:val="24"/>
              <w:vertAlign w:val="superscript"/>
            </w:rPr>
            <w:t>15,16</w:t>
          </w:r>
          <w:r w:rsidRPr="00031A83">
            <w:rPr>
              <w:rFonts w:ascii="Times New Roman" w:hAnsi="Times New Roman" w:cs="Times New Roman"/>
              <w:kern w:val="36"/>
              <w:sz w:val="24"/>
              <w:szCs w:val="24"/>
            </w:rPr>
            <w:t xml:space="preserve"> For example, three genes that can increase resistance to zinc toxicity in </w:t>
          </w:r>
          <w:r w:rsidRPr="00031A83">
            <w:rPr>
              <w:rFonts w:ascii="Times New Roman" w:hAnsi="Times New Roman" w:cs="Times New Roman"/>
              <w:i/>
              <w:iCs/>
              <w:kern w:val="36"/>
              <w:sz w:val="24"/>
              <w:szCs w:val="24"/>
            </w:rPr>
            <w:t>C. elegans</w:t>
          </w:r>
          <w:r w:rsidRPr="00031A83">
            <w:rPr>
              <w:rFonts w:ascii="Times New Roman" w:hAnsi="Times New Roman" w:cs="Times New Roman"/>
              <w:kern w:val="36"/>
              <w:sz w:val="24"/>
              <w:szCs w:val="24"/>
            </w:rPr>
            <w:t xml:space="preserve">  are am120 (on chromosome 1), am138 (on chromosome 5) and am132 (on chromosome 10).</w:t>
          </w:r>
          <w:r w:rsidRPr="00031A83">
            <w:rPr>
              <w:rFonts w:ascii="Times New Roman" w:hAnsi="Times New Roman" w:cs="Times New Roman"/>
              <w:kern w:val="36"/>
              <w:sz w:val="24"/>
              <w:szCs w:val="24"/>
              <w:vertAlign w:val="superscript"/>
            </w:rPr>
            <w:t>13</w:t>
          </w:r>
          <w:r w:rsidRPr="00031A83">
            <w:rPr>
              <w:rFonts w:ascii="Times New Roman" w:hAnsi="Times New Roman" w:cs="Times New Roman"/>
              <w:kern w:val="36"/>
              <w:sz w:val="24"/>
              <w:szCs w:val="24"/>
            </w:rPr>
            <w:t xml:space="preserve">  In humans, it is not fully understood how genetic factors influence serum zinc concentration.</w:t>
          </w:r>
          <w:r w:rsidRPr="00031A83">
            <w:rPr>
              <w:rFonts w:ascii="Times New Roman" w:hAnsi="Times New Roman" w:cs="Times New Roman"/>
              <w:kern w:val="36"/>
              <w:sz w:val="24"/>
              <w:szCs w:val="24"/>
              <w:vertAlign w:val="superscript"/>
            </w:rPr>
            <w:t>14</w:t>
          </w:r>
          <w:r w:rsidRPr="00031A83">
            <w:rPr>
              <w:rFonts w:ascii="Times New Roman" w:hAnsi="Times New Roman" w:cs="Times New Roman"/>
              <w:kern w:val="36"/>
              <w:sz w:val="24"/>
              <w:szCs w:val="24"/>
            </w:rPr>
            <w:t xml:space="preserve"> However, one study conducted in 102 Japanese participants found that three SNPs SLC30A3 (rs11126936), SLC39A8 (rs233804), and SLC39A14 (rs4872479) were significantly associated with higher blood zinc concentration.</w:t>
          </w:r>
          <w:r w:rsidRPr="00031A83">
            <w:rPr>
              <w:rFonts w:ascii="Times New Roman" w:hAnsi="Times New Roman" w:cs="Times New Roman"/>
              <w:kern w:val="36"/>
              <w:sz w:val="24"/>
              <w:szCs w:val="24"/>
              <w:vertAlign w:val="superscript"/>
            </w:rPr>
            <w:t>14</w:t>
          </w:r>
          <w:r w:rsidRPr="00031A83">
            <w:rPr>
              <w:rFonts w:ascii="Times New Roman" w:hAnsi="Times New Roman" w:cs="Times New Roman"/>
              <w:kern w:val="36"/>
              <w:sz w:val="24"/>
              <w:szCs w:val="24"/>
            </w:rPr>
            <w:t xml:space="preserve"> Further, a study performed in Andean and Bangladeshi women, found intronic variants of zinc transporters encoded by </w:t>
          </w:r>
          <w:r w:rsidRPr="00031A83">
            <w:rPr>
              <w:rFonts w:ascii="Times New Roman" w:hAnsi="Times New Roman" w:cs="Times New Roman"/>
              <w:kern w:val="36"/>
              <w:sz w:val="24"/>
              <w:szCs w:val="24"/>
            </w:rPr>
            <w:lastRenderedPageBreak/>
            <w:t xml:space="preserve">SLC39A8 and </w:t>
          </w:r>
          <w:bookmarkStart w:id="0" w:name="_Hlk66365897"/>
          <w:r w:rsidRPr="00031A83">
            <w:rPr>
              <w:rFonts w:ascii="Times New Roman" w:hAnsi="Times New Roman" w:cs="Times New Roman"/>
              <w:kern w:val="36"/>
              <w:sz w:val="24"/>
              <w:szCs w:val="24"/>
            </w:rPr>
            <w:t>SLC39A14</w:t>
          </w:r>
          <w:bookmarkEnd w:id="0"/>
          <w:r w:rsidRPr="00031A83">
            <w:rPr>
              <w:rFonts w:ascii="Times New Roman" w:hAnsi="Times New Roman" w:cs="Times New Roman"/>
              <w:kern w:val="36"/>
              <w:sz w:val="24"/>
              <w:szCs w:val="24"/>
            </w:rPr>
            <w:t xml:space="preserve"> can alter Cd concentrations in the Andean’s population blood.</w:t>
          </w:r>
          <w:r w:rsidRPr="00031A83">
            <w:rPr>
              <w:rFonts w:ascii="Times New Roman" w:hAnsi="Times New Roman" w:cs="Times New Roman"/>
              <w:kern w:val="36"/>
              <w:sz w:val="24"/>
              <w:szCs w:val="24"/>
              <w:vertAlign w:val="superscript"/>
            </w:rPr>
            <w:t>15</w:t>
          </w:r>
          <w:r w:rsidRPr="00031A83">
            <w:rPr>
              <w:rFonts w:ascii="Times New Roman" w:hAnsi="Times New Roman" w:cs="Times New Roman"/>
              <w:kern w:val="36"/>
              <w:sz w:val="24"/>
              <w:szCs w:val="24"/>
            </w:rPr>
            <w:t xml:space="preserve"> For the latter, this may occur through increase expression of the zinc transporters causing differential gene expressions.</w:t>
          </w:r>
          <w:r w:rsidRPr="00031A83">
            <w:rPr>
              <w:rFonts w:ascii="Times New Roman" w:hAnsi="Times New Roman" w:cs="Times New Roman"/>
              <w:kern w:val="36"/>
              <w:sz w:val="24"/>
              <w:szCs w:val="24"/>
              <w:vertAlign w:val="superscript"/>
            </w:rPr>
            <w:t>15</w:t>
          </w:r>
          <w:r w:rsidRPr="00031A83">
            <w:rPr>
              <w:rFonts w:ascii="Times New Roman" w:hAnsi="Times New Roman" w:cs="Times New Roman"/>
              <w:kern w:val="36"/>
              <w:sz w:val="24"/>
              <w:szCs w:val="24"/>
            </w:rPr>
            <w:t xml:space="preserve"> Overall, more research needs to be conducted to understand how zinc status interfaces with  biological aging and longevity as little is known about zinc in this context.</w:t>
          </w:r>
        </w:p>
        <w:p w14:paraId="76952F61" w14:textId="77777777" w:rsidR="00D96F31" w:rsidRPr="00EA196C" w:rsidRDefault="00D96F31" w:rsidP="00D96F31">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Objectives &amp; Hypotheses:</w:t>
          </w:r>
        </w:p>
        <w:p w14:paraId="544789C8" w14:textId="77777777"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The proposed study seeks to investigate the relationship zinc may have with biological aging and longevity in two distinct ways. First, it will analyze epidemiological data collected by the National Health and Nutrition Examination Survey (NHANES) to examine how zinc intake, serum zinc status and alcohol consumption relates to </w:t>
          </w:r>
          <w:r w:rsidRPr="00031A83">
            <w:rPr>
              <w:rFonts w:ascii="Times New Roman" w:hAnsi="Times New Roman" w:cs="Times New Roman"/>
              <w:kern w:val="36"/>
              <w:sz w:val="24"/>
              <w:szCs w:val="24"/>
            </w:rPr>
            <w:t xml:space="preserve">inflammation at the population level, which may influence biological aging and longevity. Second, it will examine genetic data collected by the Gene Expression Omnibus (GEO Profiles) to </w:t>
          </w:r>
          <w:r w:rsidRPr="00031A83">
            <w:rPr>
              <w:rFonts w:ascii="Times New Roman" w:hAnsi="Times New Roman" w:cs="Times New Roman"/>
              <w:sz w:val="24"/>
              <w:szCs w:val="24"/>
            </w:rPr>
            <w:t>determine how zinc transporters and affiliated microRNAs can be associated with genes related to longevity and autophagy in human and animal datasets. The overarching objective of this study is to understand how biological aging and longevity is influenced by the micronutrient zinc at the population and gene level.</w:t>
          </w:r>
        </w:p>
        <w:p w14:paraId="577DAD13" w14:textId="77777777"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Objective 1:  </w:t>
          </w:r>
          <w:r w:rsidRPr="00031A83">
            <w:rPr>
              <w:rFonts w:ascii="Times New Roman" w:hAnsi="Times New Roman" w:cs="Times New Roman"/>
              <w:sz w:val="24"/>
              <w:szCs w:val="24"/>
            </w:rPr>
            <w:t>To</w:t>
          </w:r>
          <w:r w:rsidRPr="00031A83">
            <w:rPr>
              <w:rFonts w:ascii="Times New Roman" w:hAnsi="Times New Roman" w:cs="Times New Roman"/>
              <w:b/>
              <w:bCs/>
              <w:sz w:val="24"/>
              <w:szCs w:val="24"/>
            </w:rPr>
            <w:t xml:space="preserve"> </w:t>
          </w:r>
          <w:r w:rsidRPr="00031A83">
            <w:rPr>
              <w:rFonts w:ascii="Times New Roman" w:hAnsi="Times New Roman" w:cs="Times New Roman"/>
              <w:sz w:val="24"/>
              <w:szCs w:val="24"/>
            </w:rPr>
            <w:t xml:space="preserve">investigate if HS-CRP, an inflammatory biomarker affiliated with autophagy and longevity, is associated with serum zinc concentrations, zinc intake and alcohol consumption in a human population when adjusting for age, gender, race/ethnicity and BMI. </w:t>
          </w:r>
        </w:p>
        <w:p w14:paraId="0B658F91" w14:textId="77777777"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1:</w:t>
          </w:r>
          <w:r w:rsidRPr="00031A83">
            <w:rPr>
              <w:rFonts w:ascii="Times New Roman" w:hAnsi="Times New Roman" w:cs="Times New Roman"/>
              <w:sz w:val="24"/>
              <w:szCs w:val="24"/>
            </w:rPr>
            <w:t xml:space="preserve"> Moderate alcohol intake, defined as one drink (14 g) per day for woman and one to two( 14-28 g) drinks per day per man, and adequate concentrations of circulating serum zinc, defined as </w:t>
          </w:r>
          <w:r w:rsidRPr="00031A83">
            <w:rPr>
              <w:rFonts w:ascii="Times New Roman" w:hAnsi="Times New Roman" w:cs="Times New Roman"/>
              <w:color w:val="000000"/>
              <w:sz w:val="24"/>
              <w:szCs w:val="24"/>
              <w:shd w:val="clear" w:color="auto" w:fill="FFFFFF"/>
            </w:rPr>
            <w:t>70 to 250 ug/dl</w:t>
          </w:r>
          <w:r w:rsidRPr="00031A83">
            <w:rPr>
              <w:rFonts w:ascii="Times New Roman" w:hAnsi="Times New Roman" w:cs="Times New Roman"/>
              <w:sz w:val="24"/>
              <w:szCs w:val="24"/>
            </w:rPr>
            <w:t>, will be associated with lower circulating levels of HS-CRP compared to the those with inadequate and excessive serum zinc.</w:t>
          </w:r>
          <w:r w:rsidRPr="00031A83">
            <w:rPr>
              <w:rFonts w:ascii="Times New Roman" w:hAnsi="Times New Roman" w:cs="Times New Roman"/>
              <w:sz w:val="24"/>
              <w:szCs w:val="24"/>
              <w:vertAlign w:val="superscript"/>
            </w:rPr>
            <w:t xml:space="preserve"> 16-21</w:t>
          </w:r>
        </w:p>
        <w:p w14:paraId="52416319" w14:textId="71B9B8A1"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2:</w:t>
          </w:r>
          <w:r w:rsidRPr="00031A83">
            <w:rPr>
              <w:rFonts w:ascii="Times New Roman" w:hAnsi="Times New Roman" w:cs="Times New Roman"/>
              <w:sz w:val="24"/>
              <w:szCs w:val="24"/>
            </w:rPr>
            <w:t xml:space="preserve"> Moderate alcohol intake, defined as one drink (14 g) per day for woman and one to two    (14-28 g) drinks per day per man, and adequate zinc intake , defined as 8 mg/day for women and 11 mg/day for men , will be associated with lower circulating levels of HS-CRP compared to the those with inadequate and excessive zinc</w:t>
          </w:r>
          <w:r>
            <w:rPr>
              <w:rFonts w:ascii="Times New Roman" w:hAnsi="Times New Roman" w:cs="Times New Roman"/>
              <w:sz w:val="24"/>
              <w:szCs w:val="24"/>
            </w:rPr>
            <w:t xml:space="preserve"> intake</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 16-21</w:t>
          </w:r>
        </w:p>
        <w:p w14:paraId="3183A37B" w14:textId="77777777" w:rsidR="00D96F31" w:rsidRPr="00031A83" w:rsidRDefault="00D96F31" w:rsidP="00D96F31">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Objective 2:</w:t>
          </w:r>
          <w:r w:rsidRPr="00031A83">
            <w:rPr>
              <w:rFonts w:ascii="Times New Roman" w:hAnsi="Times New Roman" w:cs="Times New Roman"/>
              <w:sz w:val="24"/>
              <w:szCs w:val="24"/>
            </w:rPr>
            <w:t xml:space="preserve"> To determine if any zinc transporters can be associated with target genes related to longevity, and autophagy. Specifically, the project will analyze ZNT </w:t>
          </w:r>
          <w:r>
            <w:rPr>
              <w:rFonts w:ascii="Times New Roman" w:hAnsi="Times New Roman" w:cs="Times New Roman"/>
              <w:sz w:val="24"/>
              <w:szCs w:val="24"/>
            </w:rPr>
            <w:t>(</w:t>
          </w:r>
          <w:r w:rsidRPr="00031A83">
            <w:rPr>
              <w:rFonts w:ascii="Times New Roman" w:hAnsi="Times New Roman" w:cs="Times New Roman"/>
              <w:sz w:val="24"/>
              <w:szCs w:val="24"/>
            </w:rPr>
            <w:t>SLC30A</w:t>
          </w:r>
          <w:r>
            <w:rPr>
              <w:rFonts w:ascii="Times New Roman" w:hAnsi="Times New Roman" w:cs="Times New Roman"/>
              <w:sz w:val="24"/>
              <w:szCs w:val="24"/>
            </w:rPr>
            <w:t>)</w:t>
          </w:r>
          <w:r w:rsidRPr="00031A83">
            <w:rPr>
              <w:rFonts w:ascii="Times New Roman" w:hAnsi="Times New Roman" w:cs="Times New Roman"/>
              <w:sz w:val="24"/>
              <w:szCs w:val="24"/>
            </w:rPr>
            <w:t xml:space="preserve"> and ZIP SLC39A to see if they will be significantly associated with these differentially expressed genes related to longevity, biological aging and autophagy (see Figure 1</w:t>
          </w:r>
          <w:r>
            <w:rPr>
              <w:rFonts w:ascii="Times New Roman" w:hAnsi="Times New Roman" w:cs="Times New Roman"/>
              <w:sz w:val="24"/>
              <w:szCs w:val="24"/>
            </w:rPr>
            <w:t xml:space="preserve"> below</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14-15,23-26</w:t>
          </w:r>
        </w:p>
        <w:p w14:paraId="222360A8" w14:textId="77777777" w:rsidR="00D96F31" w:rsidRPr="00E9541D"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Hypothesis 3: </w:t>
          </w:r>
          <w:r w:rsidRPr="00031A83">
            <w:rPr>
              <w:rFonts w:ascii="Times New Roman" w:hAnsi="Times New Roman" w:cs="Times New Roman"/>
              <w:sz w:val="24"/>
              <w:szCs w:val="24"/>
            </w:rPr>
            <w:t xml:space="preserve">The decreased expression of ZNT </w:t>
          </w:r>
          <w:r>
            <w:rPr>
              <w:rFonts w:ascii="Times New Roman" w:hAnsi="Times New Roman" w:cs="Times New Roman"/>
              <w:sz w:val="24"/>
              <w:szCs w:val="24"/>
            </w:rPr>
            <w:t>(</w:t>
          </w:r>
          <w:r w:rsidRPr="00031A83">
            <w:rPr>
              <w:rFonts w:ascii="Times New Roman" w:hAnsi="Times New Roman" w:cs="Times New Roman"/>
              <w:sz w:val="24"/>
              <w:szCs w:val="24"/>
            </w:rPr>
            <w:t>SLC30A</w:t>
          </w:r>
          <w:r>
            <w:rPr>
              <w:rFonts w:ascii="Times New Roman" w:hAnsi="Times New Roman" w:cs="Times New Roman"/>
              <w:sz w:val="24"/>
              <w:szCs w:val="24"/>
            </w:rPr>
            <w:t>)</w:t>
          </w:r>
          <w:r w:rsidRPr="00031A83">
            <w:rPr>
              <w:rFonts w:ascii="Times New Roman" w:hAnsi="Times New Roman" w:cs="Times New Roman"/>
              <w:sz w:val="24"/>
              <w:szCs w:val="24"/>
            </w:rPr>
            <w:t xml:space="preserve"> and the increased expressions of ZIP </w:t>
          </w:r>
          <w:r>
            <w:rPr>
              <w:rFonts w:ascii="Times New Roman" w:hAnsi="Times New Roman" w:cs="Times New Roman"/>
              <w:sz w:val="24"/>
              <w:szCs w:val="24"/>
            </w:rPr>
            <w:t>(</w:t>
          </w:r>
          <w:r w:rsidRPr="00031A83">
            <w:rPr>
              <w:rFonts w:ascii="Times New Roman" w:hAnsi="Times New Roman" w:cs="Times New Roman"/>
              <w:sz w:val="24"/>
              <w:szCs w:val="24"/>
            </w:rPr>
            <w:t>SLC39A</w:t>
          </w:r>
          <w:r>
            <w:rPr>
              <w:rFonts w:ascii="Times New Roman" w:hAnsi="Times New Roman" w:cs="Times New Roman"/>
              <w:sz w:val="24"/>
              <w:szCs w:val="24"/>
            </w:rPr>
            <w:t>)</w:t>
          </w:r>
          <w:r w:rsidRPr="00031A83">
            <w:rPr>
              <w:rFonts w:ascii="Times New Roman" w:hAnsi="Times New Roman" w:cs="Times New Roman"/>
              <w:sz w:val="24"/>
              <w:szCs w:val="24"/>
            </w:rPr>
            <w:t xml:space="preserve"> </w:t>
          </w:r>
          <w:r w:rsidRPr="00031A83">
            <w:rPr>
              <w:rFonts w:ascii="Times New Roman" w:hAnsi="Times New Roman" w:cs="Times New Roman"/>
              <w:kern w:val="36"/>
              <w:sz w:val="24"/>
              <w:szCs w:val="24"/>
            </w:rPr>
            <w:t xml:space="preserve"> </w:t>
          </w:r>
          <w:r w:rsidRPr="00031A83">
            <w:rPr>
              <w:rFonts w:ascii="Times New Roman" w:hAnsi="Times New Roman" w:cs="Times New Roman"/>
              <w:sz w:val="24"/>
              <w:szCs w:val="24"/>
            </w:rPr>
            <w:t xml:space="preserve"> will be significantly associated with at least two of the differentially expressed genes listed in Figure 1.</w:t>
          </w:r>
          <w:r w:rsidRPr="00031A83">
            <w:rPr>
              <w:rFonts w:ascii="Times New Roman" w:hAnsi="Times New Roman" w:cs="Times New Roman"/>
              <w:sz w:val="24"/>
              <w:szCs w:val="24"/>
              <w:vertAlign w:val="superscript"/>
            </w:rPr>
            <w:t xml:space="preserve"> 14-15,23-26</w:t>
          </w:r>
          <w:r>
            <w:rPr>
              <w:rFonts w:ascii="Times New Roman" w:hAnsi="Times New Roman" w:cs="Times New Roman"/>
              <w:sz w:val="24"/>
              <w:szCs w:val="24"/>
            </w:rPr>
            <w:t xml:space="preserve"> </w:t>
          </w:r>
          <w:r w:rsidRPr="00E9541D">
            <w:rPr>
              <w:rFonts w:ascii="Times New Roman" w:hAnsi="Times New Roman" w:cs="Times New Roman"/>
              <w:sz w:val="24"/>
              <w:szCs w:val="24"/>
            </w:rPr>
            <w:t>These mechanistic processes generated will be analyzed via Bayesian machine learning techniques to determine causal pathways.</w:t>
          </w:r>
        </w:p>
        <w:p w14:paraId="423FBEA2" w14:textId="77777777"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Objective 3: </w:t>
          </w:r>
          <w:r w:rsidRPr="00031A83">
            <w:rPr>
              <w:rFonts w:ascii="Times New Roman" w:hAnsi="Times New Roman" w:cs="Times New Roman"/>
              <w:sz w:val="24"/>
              <w:szCs w:val="24"/>
            </w:rPr>
            <w:t>To explore the microRNAs that are associated with the differentially expressed genes in Aim 2. Once a differentially expressed gene is identified, various bioinformatic software(s) (Target-Scan, DIANE-TARbase, Genecodis) will be used in pathway analysis. This will be done in</w:t>
          </w:r>
          <w:r w:rsidRPr="00031A83">
            <w:rPr>
              <w:rFonts w:ascii="Times New Roman" w:hAnsi="Times New Roman" w:cs="Times New Roman"/>
              <w:i/>
              <w:iCs/>
              <w:sz w:val="24"/>
              <w:szCs w:val="24"/>
            </w:rPr>
            <w:t xml:space="preserve"> </w:t>
          </w:r>
          <w:r w:rsidRPr="00031A83">
            <w:rPr>
              <w:rFonts w:ascii="Times New Roman" w:hAnsi="Times New Roman" w:cs="Times New Roman"/>
              <w:sz w:val="24"/>
              <w:szCs w:val="24"/>
            </w:rPr>
            <w:t>worms (</w:t>
          </w:r>
          <w:r w:rsidRPr="00031A83">
            <w:rPr>
              <w:rFonts w:ascii="Times New Roman" w:hAnsi="Times New Roman" w:cs="Times New Roman"/>
              <w:i/>
              <w:iCs/>
              <w:sz w:val="24"/>
              <w:szCs w:val="24"/>
            </w:rPr>
            <w:t>C. Elegans)</w:t>
          </w:r>
          <w:r w:rsidRPr="00031A83">
            <w:rPr>
              <w:rFonts w:ascii="Times New Roman" w:hAnsi="Times New Roman" w:cs="Times New Roman"/>
              <w:sz w:val="24"/>
              <w:szCs w:val="24"/>
            </w:rPr>
            <w:t>, murine and human datasets.</w:t>
          </w:r>
          <w:r w:rsidRPr="00E9541D">
            <w:rPr>
              <w:rFonts w:ascii="Times New Roman" w:hAnsi="Times New Roman" w:cs="Times New Roman"/>
              <w:sz w:val="24"/>
              <w:szCs w:val="24"/>
            </w:rPr>
            <w:t xml:space="preserve"> These mechanistic processes generated will also be analyzed via Bayesian machine learning techniques to determine causal pathways.</w:t>
          </w:r>
        </w:p>
        <w:p w14:paraId="22813022" w14:textId="77777777" w:rsidR="00D96F31" w:rsidRPr="00EA196C"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Hypothesis 4: </w:t>
          </w:r>
          <w:r w:rsidRPr="00031A83">
            <w:rPr>
              <w:rFonts w:ascii="Times New Roman" w:hAnsi="Times New Roman" w:cs="Times New Roman"/>
              <w:sz w:val="24"/>
              <w:szCs w:val="24"/>
            </w:rPr>
            <w:t>At least one pathway identified in Aim 3 will be conserved across species, contributing to the uniform theory of aging.</w:t>
          </w:r>
          <w:r w:rsidRPr="00031A83">
            <w:rPr>
              <w:rFonts w:ascii="Times New Roman" w:hAnsi="Times New Roman" w:cs="Times New Roman"/>
              <w:sz w:val="24"/>
              <w:szCs w:val="24"/>
              <w:vertAlign w:val="superscript"/>
            </w:rPr>
            <w:t>27</w:t>
          </w:r>
          <w:r w:rsidRPr="00031A83">
            <w:rPr>
              <w:rFonts w:ascii="Times New Roman" w:hAnsi="Times New Roman" w:cs="Times New Roman"/>
              <w:sz w:val="24"/>
              <w:szCs w:val="24"/>
            </w:rPr>
            <w:t xml:space="preserve"> </w:t>
          </w:r>
          <w:r w:rsidRPr="00031A83">
            <w:rPr>
              <w:rFonts w:ascii="Times New Roman" w:hAnsi="Times New Roman" w:cs="Times New Roman"/>
              <w:b/>
              <w:bCs/>
              <w:sz w:val="24"/>
              <w:szCs w:val="24"/>
            </w:rPr>
            <w:t xml:space="preserve"> </w:t>
          </w:r>
        </w:p>
        <w:p w14:paraId="512055AD" w14:textId="77777777" w:rsidR="00D96F31" w:rsidRPr="00031A83" w:rsidRDefault="00D96F31" w:rsidP="00D96F31">
          <w:pPr>
            <w:spacing w:line="240" w:lineRule="auto"/>
            <w:rPr>
              <w:rFonts w:ascii="Times New Roman" w:hAnsi="Times New Roman" w:cs="Times New Roman"/>
              <w:b/>
              <w:bCs/>
              <w:sz w:val="24"/>
              <w:szCs w:val="24"/>
              <w:vertAlign w:val="superscript"/>
            </w:rPr>
          </w:pPr>
          <w:r w:rsidRPr="00031A83">
            <w:rPr>
              <w:rFonts w:ascii="Times New Roman" w:hAnsi="Times New Roman" w:cs="Times New Roman"/>
              <w:b/>
              <w:bCs/>
              <w:sz w:val="24"/>
              <w:szCs w:val="24"/>
            </w:rPr>
            <w:lastRenderedPageBreak/>
            <w:t xml:space="preserve">Figure 1: Possible Target Genes </w:t>
          </w:r>
          <w:r w:rsidRPr="00031A83">
            <w:rPr>
              <w:rFonts w:ascii="Times New Roman" w:hAnsi="Times New Roman" w:cs="Times New Roman"/>
              <w:b/>
              <w:bCs/>
              <w:sz w:val="24"/>
              <w:szCs w:val="24"/>
              <w:vertAlign w:val="superscript"/>
            </w:rPr>
            <w:t>22-25</w:t>
          </w:r>
        </w:p>
        <w:tbl>
          <w:tblPr>
            <w:tblStyle w:val="TableGrid"/>
            <w:tblW w:w="10331" w:type="dxa"/>
            <w:tblLayout w:type="fixed"/>
            <w:tblLook w:val="04A0" w:firstRow="1" w:lastRow="0" w:firstColumn="1" w:lastColumn="0" w:noHBand="0" w:noVBand="1"/>
          </w:tblPr>
          <w:tblGrid>
            <w:gridCol w:w="1590"/>
            <w:gridCol w:w="2005"/>
            <w:gridCol w:w="1996"/>
            <w:gridCol w:w="1612"/>
            <w:gridCol w:w="1755"/>
            <w:gridCol w:w="1373"/>
          </w:tblGrid>
          <w:tr w:rsidR="00D96F31" w:rsidRPr="00031A83" w14:paraId="4CEB3B49" w14:textId="77777777" w:rsidTr="00A5732F">
            <w:trPr>
              <w:trHeight w:val="725"/>
            </w:trPr>
            <w:tc>
              <w:tcPr>
                <w:tcW w:w="1590" w:type="dxa"/>
              </w:tcPr>
              <w:p w14:paraId="6083B912"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Autophagy (Human)</w:t>
                </w:r>
              </w:p>
            </w:tc>
            <w:tc>
              <w:tcPr>
                <w:tcW w:w="2005" w:type="dxa"/>
              </w:tcPr>
              <w:p w14:paraId="385FBE9B"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 xml:space="preserve">Genes related to </w:t>
                </w:r>
              </w:p>
              <w:p w14:paraId="4C201CB2"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Longevity</w:t>
                </w:r>
              </w:p>
              <w:p w14:paraId="06F9B115"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(Human)</w:t>
                </w:r>
              </w:p>
            </w:tc>
            <w:tc>
              <w:tcPr>
                <w:tcW w:w="1996" w:type="dxa"/>
              </w:tcPr>
              <w:p w14:paraId="340B32FE"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Autophagy (Murine)</w:t>
                </w:r>
              </w:p>
            </w:tc>
            <w:tc>
              <w:tcPr>
                <w:tcW w:w="1612" w:type="dxa"/>
              </w:tcPr>
              <w:p w14:paraId="2CB0153D"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Longevity</w:t>
                </w:r>
              </w:p>
              <w:p w14:paraId="7A2B8C44"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(Murine)</w:t>
                </w:r>
              </w:p>
            </w:tc>
            <w:tc>
              <w:tcPr>
                <w:tcW w:w="1755" w:type="dxa"/>
              </w:tcPr>
              <w:p w14:paraId="73B0F500"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Autophagy</w:t>
                </w:r>
              </w:p>
              <w:p w14:paraId="66B3FB35"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 xml:space="preserve"> (</w:t>
                </w:r>
                <w:r w:rsidRPr="00031A83">
                  <w:rPr>
                    <w:rFonts w:ascii="Times New Roman" w:hAnsi="Times New Roman" w:cs="Times New Roman"/>
                    <w:b/>
                    <w:bCs/>
                    <w:i/>
                    <w:iCs/>
                    <w:sz w:val="24"/>
                    <w:szCs w:val="24"/>
                  </w:rPr>
                  <w:t>C. elegans</w:t>
                </w:r>
                <w:r w:rsidRPr="00031A83">
                  <w:rPr>
                    <w:rFonts w:ascii="Times New Roman" w:hAnsi="Times New Roman" w:cs="Times New Roman"/>
                    <w:b/>
                    <w:bCs/>
                    <w:sz w:val="24"/>
                    <w:szCs w:val="24"/>
                  </w:rPr>
                  <w:t>)</w:t>
                </w:r>
              </w:p>
            </w:tc>
            <w:tc>
              <w:tcPr>
                <w:tcW w:w="1373" w:type="dxa"/>
              </w:tcPr>
              <w:p w14:paraId="21B903FC"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Genes related to Longevity</w:t>
                </w:r>
              </w:p>
              <w:p w14:paraId="51DAAB52" w14:textId="77777777" w:rsidR="00D96F31" w:rsidRPr="00031A83" w:rsidRDefault="00D96F31" w:rsidP="00A5732F">
                <w:pPr>
                  <w:rPr>
                    <w:rFonts w:ascii="Times New Roman" w:hAnsi="Times New Roman" w:cs="Times New Roman"/>
                    <w:b/>
                    <w:bCs/>
                    <w:sz w:val="24"/>
                    <w:szCs w:val="24"/>
                  </w:rPr>
                </w:pPr>
                <w:r w:rsidRPr="00031A83">
                  <w:rPr>
                    <w:rFonts w:ascii="Times New Roman" w:hAnsi="Times New Roman" w:cs="Times New Roman"/>
                    <w:b/>
                    <w:bCs/>
                    <w:sz w:val="24"/>
                    <w:szCs w:val="24"/>
                  </w:rPr>
                  <w:t>(</w:t>
                </w:r>
                <w:r w:rsidRPr="00031A83">
                  <w:rPr>
                    <w:rFonts w:ascii="Times New Roman" w:hAnsi="Times New Roman" w:cs="Times New Roman"/>
                    <w:b/>
                    <w:bCs/>
                    <w:i/>
                    <w:iCs/>
                    <w:sz w:val="24"/>
                    <w:szCs w:val="24"/>
                  </w:rPr>
                  <w:t>C. elegans</w:t>
                </w:r>
                <w:r w:rsidRPr="00031A83">
                  <w:rPr>
                    <w:rFonts w:ascii="Times New Roman" w:hAnsi="Times New Roman" w:cs="Times New Roman"/>
                    <w:b/>
                    <w:bCs/>
                    <w:sz w:val="24"/>
                    <w:szCs w:val="24"/>
                  </w:rPr>
                  <w:t>)</w:t>
                </w:r>
              </w:p>
            </w:tc>
          </w:tr>
          <w:tr w:rsidR="00D96F31" w:rsidRPr="00031A83" w14:paraId="29600C45" w14:textId="77777777" w:rsidTr="00A5732F">
            <w:trPr>
              <w:trHeight w:val="652"/>
            </w:trPr>
            <w:tc>
              <w:tcPr>
                <w:tcW w:w="1590" w:type="dxa"/>
              </w:tcPr>
              <w:p w14:paraId="774E38D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Initiation:</w:t>
                </w:r>
              </w:p>
              <w:p w14:paraId="0EE73101"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ULK</w:t>
                </w:r>
              </w:p>
            </w:tc>
            <w:tc>
              <w:tcPr>
                <w:tcW w:w="2005" w:type="dxa"/>
              </w:tcPr>
              <w:p w14:paraId="564F9CF3" w14:textId="77777777" w:rsidR="00D96F31" w:rsidRPr="00031A83" w:rsidRDefault="00D96F31" w:rsidP="00A5732F">
                <w:pPr>
                  <w:rPr>
                    <w:rFonts w:ascii="Times New Roman" w:hAnsi="Times New Roman" w:cs="Times New Roman"/>
                    <w:sz w:val="24"/>
                    <w:szCs w:val="24"/>
                  </w:rPr>
                </w:pPr>
                <w:r w:rsidRPr="00031A83">
                  <w:rPr>
                    <w:rStyle w:val="Emphasis"/>
                    <w:rFonts w:ascii="Times New Roman" w:hAnsi="Times New Roman" w:cs="Times New Roman"/>
                    <w:color w:val="000000"/>
                    <w:sz w:val="24"/>
                    <w:szCs w:val="24"/>
                    <w:shd w:val="clear" w:color="auto" w:fill="FFFFFF"/>
                  </w:rPr>
                  <w:t>TOMM40/APOE/APOC1</w:t>
                </w:r>
                <w:r w:rsidRPr="00031A83">
                  <w:rPr>
                    <w:rFonts w:ascii="Times New Roman" w:hAnsi="Times New Roman" w:cs="Times New Roman"/>
                    <w:color w:val="000000"/>
                    <w:sz w:val="24"/>
                    <w:szCs w:val="24"/>
                    <w:shd w:val="clear" w:color="auto" w:fill="FFFFFF"/>
                  </w:rPr>
                  <w:t> gene cluster</w:t>
                </w:r>
              </w:p>
            </w:tc>
            <w:tc>
              <w:tcPr>
                <w:tcW w:w="1996" w:type="dxa"/>
              </w:tcPr>
              <w:p w14:paraId="4744E8D9"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Initiation:</w:t>
                </w:r>
              </w:p>
              <w:p w14:paraId="39A5AD1E"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ULK</w:t>
                </w:r>
              </w:p>
            </w:tc>
            <w:tc>
              <w:tcPr>
                <w:tcW w:w="1612" w:type="dxa"/>
              </w:tcPr>
              <w:p w14:paraId="23EF1B09"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APOE</w:t>
                </w:r>
              </w:p>
            </w:tc>
            <w:tc>
              <w:tcPr>
                <w:tcW w:w="1755" w:type="dxa"/>
              </w:tcPr>
              <w:p w14:paraId="26ECF88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Initiation:</w:t>
                </w:r>
              </w:p>
              <w:p w14:paraId="6C06CE6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Unc-51</w:t>
                </w:r>
              </w:p>
            </w:tc>
            <w:tc>
              <w:tcPr>
                <w:tcW w:w="1373" w:type="dxa"/>
              </w:tcPr>
              <w:p w14:paraId="5C28EEDA"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r>
          <w:tr w:rsidR="00D96F31" w:rsidRPr="00031A83" w14:paraId="3123525A" w14:textId="77777777" w:rsidTr="00A5732F">
            <w:trPr>
              <w:trHeight w:val="379"/>
            </w:trPr>
            <w:tc>
              <w:tcPr>
                <w:tcW w:w="1590" w:type="dxa"/>
              </w:tcPr>
              <w:p w14:paraId="64C37C3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mTOR</w:t>
                </w:r>
              </w:p>
            </w:tc>
            <w:tc>
              <w:tcPr>
                <w:tcW w:w="2005" w:type="dxa"/>
              </w:tcPr>
              <w:p w14:paraId="3A806ECB" w14:textId="77777777" w:rsidR="00D96F31" w:rsidRPr="00031A83" w:rsidRDefault="00D96F31" w:rsidP="00A5732F">
                <w:pPr>
                  <w:rPr>
                    <w:rFonts w:ascii="Times New Roman" w:hAnsi="Times New Roman" w:cs="Times New Roman"/>
                    <w:i/>
                    <w:iCs/>
                    <w:sz w:val="24"/>
                    <w:szCs w:val="24"/>
                  </w:rPr>
                </w:pPr>
                <w:r w:rsidRPr="00031A83">
                  <w:rPr>
                    <w:rFonts w:ascii="Times New Roman" w:hAnsi="Times New Roman" w:cs="Times New Roman"/>
                    <w:sz w:val="24"/>
                    <w:szCs w:val="24"/>
                  </w:rPr>
                  <w:t>FOXO1/FOXO3 /</w:t>
                </w:r>
                <w:r w:rsidRPr="00031A83">
                  <w:rPr>
                    <w:rFonts w:ascii="Times New Roman" w:hAnsi="Times New Roman" w:cs="Times New Roman"/>
                    <w:i/>
                    <w:iCs/>
                    <w:sz w:val="24"/>
                    <w:szCs w:val="24"/>
                  </w:rPr>
                  <w:t>Daf-16</w:t>
                </w:r>
              </w:p>
            </w:tc>
            <w:tc>
              <w:tcPr>
                <w:tcW w:w="1996" w:type="dxa"/>
              </w:tcPr>
              <w:p w14:paraId="6C273969" w14:textId="77777777" w:rsidR="00D96F31" w:rsidRPr="00031A83" w:rsidRDefault="00D96F31" w:rsidP="00A5732F">
                <w:pPr>
                  <w:rPr>
                    <w:rFonts w:ascii="Times New Roman" w:hAnsi="Times New Roman" w:cs="Times New Roman"/>
                    <w:i/>
                    <w:iCs/>
                    <w:sz w:val="24"/>
                    <w:szCs w:val="24"/>
                  </w:rPr>
                </w:pPr>
                <w:r w:rsidRPr="00031A83">
                  <w:rPr>
                    <w:rFonts w:ascii="Times New Roman" w:hAnsi="Times New Roman" w:cs="Times New Roman"/>
                    <w:sz w:val="24"/>
                    <w:szCs w:val="24"/>
                  </w:rPr>
                  <w:t>mTOR</w:t>
                </w:r>
              </w:p>
            </w:tc>
            <w:tc>
              <w:tcPr>
                <w:tcW w:w="1612" w:type="dxa"/>
              </w:tcPr>
              <w:p w14:paraId="37D25EEA"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Foxo3/</w:t>
                </w:r>
                <w:r w:rsidRPr="00031A83">
                  <w:rPr>
                    <w:rFonts w:ascii="Times New Roman" w:hAnsi="Times New Roman" w:cs="Times New Roman"/>
                    <w:i/>
                    <w:iCs/>
                    <w:sz w:val="24"/>
                    <w:szCs w:val="24"/>
                  </w:rPr>
                  <w:t>Daf-16</w:t>
                </w:r>
              </w:p>
            </w:tc>
            <w:tc>
              <w:tcPr>
                <w:tcW w:w="1755" w:type="dxa"/>
              </w:tcPr>
              <w:p w14:paraId="1C9014E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TOR-1/ LET-363</w:t>
                </w:r>
              </w:p>
            </w:tc>
            <w:tc>
              <w:tcPr>
                <w:tcW w:w="1373" w:type="dxa"/>
              </w:tcPr>
              <w:p w14:paraId="5E7E5F85" w14:textId="77777777" w:rsidR="00D96F31" w:rsidRPr="00031A83" w:rsidRDefault="00D96F31" w:rsidP="00A5732F">
                <w:pPr>
                  <w:rPr>
                    <w:rFonts w:ascii="Times New Roman" w:hAnsi="Times New Roman" w:cs="Times New Roman"/>
                    <w:i/>
                    <w:iCs/>
                    <w:sz w:val="24"/>
                    <w:szCs w:val="24"/>
                  </w:rPr>
                </w:pPr>
                <w:r w:rsidRPr="00031A83">
                  <w:rPr>
                    <w:rFonts w:ascii="Times New Roman" w:hAnsi="Times New Roman" w:cs="Times New Roman"/>
                    <w:i/>
                    <w:iCs/>
                    <w:sz w:val="24"/>
                    <w:szCs w:val="24"/>
                  </w:rPr>
                  <w:t>Daf-16</w:t>
                </w:r>
              </w:p>
            </w:tc>
          </w:tr>
          <w:tr w:rsidR="00D96F31" w:rsidRPr="00031A83" w14:paraId="562DF232" w14:textId="77777777" w:rsidTr="00A5732F">
            <w:trPr>
              <w:trHeight w:val="220"/>
            </w:trPr>
            <w:tc>
              <w:tcPr>
                <w:tcW w:w="1590" w:type="dxa"/>
              </w:tcPr>
              <w:p w14:paraId="331B02CA"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RB1CC1</w:t>
                </w:r>
              </w:p>
            </w:tc>
            <w:tc>
              <w:tcPr>
                <w:tcW w:w="2005" w:type="dxa"/>
              </w:tcPr>
              <w:p w14:paraId="2E46CCC9"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SIRT1-SIRT7</w:t>
                </w:r>
              </w:p>
            </w:tc>
            <w:tc>
              <w:tcPr>
                <w:tcW w:w="1996" w:type="dxa"/>
              </w:tcPr>
              <w:p w14:paraId="6D2B06D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RB1CC1</w:t>
                </w:r>
              </w:p>
            </w:tc>
            <w:tc>
              <w:tcPr>
                <w:tcW w:w="1612" w:type="dxa"/>
              </w:tcPr>
              <w:p w14:paraId="26B285C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SIRT1-SIRT7</w:t>
                </w:r>
              </w:p>
            </w:tc>
            <w:tc>
              <w:tcPr>
                <w:tcW w:w="1755" w:type="dxa"/>
              </w:tcPr>
              <w:p w14:paraId="29C30021"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c>
              <w:tcPr>
                <w:tcW w:w="1373" w:type="dxa"/>
              </w:tcPr>
              <w:p w14:paraId="38E8CDDA" w14:textId="77777777" w:rsidR="00D96F31" w:rsidRPr="00031A83" w:rsidRDefault="00D96F31" w:rsidP="00A5732F">
                <w:pPr>
                  <w:rPr>
                    <w:rFonts w:ascii="Times New Roman" w:hAnsi="Times New Roman" w:cs="Times New Roman"/>
                    <w:sz w:val="24"/>
                    <w:szCs w:val="24"/>
                  </w:rPr>
                </w:pPr>
                <w:r w:rsidRPr="00031A83">
                  <w:rPr>
                    <w:rStyle w:val="Emphasis"/>
                    <w:rFonts w:ascii="Times New Roman" w:hAnsi="Times New Roman" w:cs="Times New Roman"/>
                    <w:color w:val="000000"/>
                    <w:sz w:val="24"/>
                    <w:szCs w:val="24"/>
                    <w:shd w:val="clear" w:color="auto" w:fill="FFFFFF"/>
                  </w:rPr>
                  <w:t>Sir2</w:t>
                </w:r>
              </w:p>
            </w:tc>
          </w:tr>
          <w:tr w:rsidR="00D96F31" w:rsidRPr="00031A83" w14:paraId="3EEE114B" w14:textId="77777777" w:rsidTr="00A5732F">
            <w:trPr>
              <w:trHeight w:val="209"/>
            </w:trPr>
            <w:tc>
              <w:tcPr>
                <w:tcW w:w="1590" w:type="dxa"/>
              </w:tcPr>
              <w:p w14:paraId="3BB14560" w14:textId="77777777" w:rsidR="00D96F31" w:rsidRPr="00031A83" w:rsidRDefault="00D96F31" w:rsidP="00A5732F">
                <w:pPr>
                  <w:rPr>
                    <w:rFonts w:ascii="Times New Roman" w:hAnsi="Times New Roman" w:cs="Times New Roman"/>
                    <w:i/>
                    <w:iCs/>
                    <w:sz w:val="24"/>
                    <w:szCs w:val="24"/>
                  </w:rPr>
                </w:pPr>
                <w:r w:rsidRPr="00031A83">
                  <w:rPr>
                    <w:rStyle w:val="Emphasis"/>
                    <w:rFonts w:ascii="Times New Roman" w:hAnsi="Times New Roman" w:cs="Times New Roman"/>
                    <w:color w:val="000000"/>
                    <w:sz w:val="24"/>
                    <w:szCs w:val="24"/>
                    <w:shd w:val="clear" w:color="auto" w:fill="FFFCF0"/>
                  </w:rPr>
                  <w:t>GABARAP</w:t>
                </w:r>
              </w:p>
            </w:tc>
            <w:tc>
              <w:tcPr>
                <w:tcW w:w="2005" w:type="dxa"/>
              </w:tcPr>
              <w:p w14:paraId="1ABF4C3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IGF1</w:t>
                </w:r>
              </w:p>
            </w:tc>
            <w:tc>
              <w:tcPr>
                <w:tcW w:w="1996" w:type="dxa"/>
              </w:tcPr>
              <w:p w14:paraId="37DBB9BD" w14:textId="77777777" w:rsidR="00D96F31" w:rsidRPr="00031A83" w:rsidRDefault="00D96F31" w:rsidP="00A5732F">
                <w:pPr>
                  <w:rPr>
                    <w:rFonts w:ascii="Times New Roman" w:hAnsi="Times New Roman" w:cs="Times New Roman"/>
                    <w:i/>
                    <w:iCs/>
                    <w:sz w:val="24"/>
                    <w:szCs w:val="24"/>
                  </w:rPr>
                </w:pPr>
                <w:r w:rsidRPr="00031A83">
                  <w:rPr>
                    <w:rStyle w:val="Emphasis"/>
                    <w:rFonts w:ascii="Times New Roman" w:hAnsi="Times New Roman" w:cs="Times New Roman"/>
                    <w:color w:val="000000"/>
                    <w:sz w:val="24"/>
                    <w:szCs w:val="24"/>
                    <w:shd w:val="clear" w:color="auto" w:fill="FFFCF0"/>
                  </w:rPr>
                  <w:t>Gabarap</w:t>
                </w:r>
              </w:p>
            </w:tc>
            <w:tc>
              <w:tcPr>
                <w:tcW w:w="1612" w:type="dxa"/>
              </w:tcPr>
              <w:p w14:paraId="037166C0"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Igf-1</w:t>
                </w:r>
              </w:p>
            </w:tc>
            <w:tc>
              <w:tcPr>
                <w:tcW w:w="1755" w:type="dxa"/>
              </w:tcPr>
              <w:p w14:paraId="307F741F"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LGG-1</w:t>
                </w:r>
              </w:p>
            </w:tc>
            <w:tc>
              <w:tcPr>
                <w:tcW w:w="1373" w:type="dxa"/>
              </w:tcPr>
              <w:p w14:paraId="24968EB9" w14:textId="77777777" w:rsidR="00D96F31" w:rsidRPr="00031A83" w:rsidRDefault="00D96F31" w:rsidP="00A5732F">
                <w:pPr>
                  <w:rPr>
                    <w:rStyle w:val="Emphasis"/>
                    <w:rFonts w:ascii="Times New Roman" w:hAnsi="Times New Roman" w:cs="Times New Roman"/>
                    <w:color w:val="000000"/>
                    <w:sz w:val="24"/>
                    <w:szCs w:val="24"/>
                    <w:shd w:val="clear" w:color="auto" w:fill="FFFFFF"/>
                  </w:rPr>
                </w:pPr>
                <w:r w:rsidRPr="00031A83">
                  <w:rPr>
                    <w:rStyle w:val="Emphasis"/>
                    <w:rFonts w:ascii="Times New Roman" w:hAnsi="Times New Roman" w:cs="Times New Roman"/>
                    <w:color w:val="000000"/>
                    <w:sz w:val="24"/>
                    <w:szCs w:val="24"/>
                    <w:shd w:val="clear" w:color="auto" w:fill="FFFFFF"/>
                  </w:rPr>
                  <w:t>Daf-2</w:t>
                </w:r>
              </w:p>
            </w:tc>
          </w:tr>
          <w:tr w:rsidR="00D96F31" w:rsidRPr="00031A83" w14:paraId="369FD3A0" w14:textId="77777777" w:rsidTr="00A5732F">
            <w:trPr>
              <w:trHeight w:val="662"/>
            </w:trPr>
            <w:tc>
              <w:tcPr>
                <w:tcW w:w="1590" w:type="dxa"/>
              </w:tcPr>
              <w:p w14:paraId="4E1A4C07"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Degradation:</w:t>
                </w:r>
              </w:p>
              <w:p w14:paraId="61E383F4"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RAB7</w:t>
                </w:r>
              </w:p>
            </w:tc>
            <w:tc>
              <w:tcPr>
                <w:tcW w:w="2005" w:type="dxa"/>
              </w:tcPr>
              <w:p w14:paraId="704A188E"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TFEB (also related to autophagy)</w:t>
                </w:r>
              </w:p>
            </w:tc>
            <w:tc>
              <w:tcPr>
                <w:tcW w:w="1996" w:type="dxa"/>
              </w:tcPr>
              <w:p w14:paraId="659CF58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Degradation:</w:t>
                </w:r>
              </w:p>
              <w:p w14:paraId="5183EBEC"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RAB7</w:t>
                </w:r>
              </w:p>
            </w:tc>
            <w:tc>
              <w:tcPr>
                <w:tcW w:w="1612" w:type="dxa"/>
              </w:tcPr>
              <w:p w14:paraId="4CFE993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TFEB</w:t>
                </w:r>
              </w:p>
            </w:tc>
            <w:tc>
              <w:tcPr>
                <w:tcW w:w="1755" w:type="dxa"/>
              </w:tcPr>
              <w:p w14:paraId="5E47F28C"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Degradation:</w:t>
                </w:r>
              </w:p>
              <w:p w14:paraId="0930C77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RAB-7</w:t>
                </w:r>
              </w:p>
            </w:tc>
            <w:tc>
              <w:tcPr>
                <w:tcW w:w="1373" w:type="dxa"/>
              </w:tcPr>
              <w:p w14:paraId="2F60FB9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HLH-30</w:t>
                </w:r>
              </w:p>
            </w:tc>
          </w:tr>
          <w:tr w:rsidR="00D96F31" w:rsidRPr="00031A83" w14:paraId="128B2DB4" w14:textId="77777777" w:rsidTr="00A5732F">
            <w:trPr>
              <w:trHeight w:val="220"/>
            </w:trPr>
            <w:tc>
              <w:tcPr>
                <w:tcW w:w="1590" w:type="dxa"/>
              </w:tcPr>
              <w:p w14:paraId="2C8674D2"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LAMP 2</w:t>
                </w:r>
              </w:p>
            </w:tc>
            <w:tc>
              <w:tcPr>
                <w:tcW w:w="2005" w:type="dxa"/>
              </w:tcPr>
              <w:p w14:paraId="3D3C7202" w14:textId="77777777" w:rsidR="00D96F31" w:rsidRPr="00031A83" w:rsidRDefault="00D96F31" w:rsidP="00A5732F">
                <w:pPr>
                  <w:rPr>
                    <w:rFonts w:ascii="Times New Roman" w:hAnsi="Times New Roman" w:cs="Times New Roman"/>
                    <w:sz w:val="24"/>
                    <w:szCs w:val="24"/>
                    <w:vertAlign w:val="superscript"/>
                  </w:rPr>
                </w:pPr>
                <w:r w:rsidRPr="00031A83">
                  <w:rPr>
                    <w:rFonts w:ascii="Times New Roman" w:hAnsi="Times New Roman" w:cs="Times New Roman"/>
                    <w:color w:val="000000"/>
                    <w:sz w:val="24"/>
                    <w:szCs w:val="24"/>
                    <w:shd w:val="clear" w:color="auto" w:fill="FFFFFF"/>
                  </w:rPr>
                  <w:t>TNFα</w:t>
                </w:r>
              </w:p>
            </w:tc>
            <w:tc>
              <w:tcPr>
                <w:tcW w:w="1996" w:type="dxa"/>
              </w:tcPr>
              <w:p w14:paraId="52EE88C6"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LAMP 2</w:t>
                </w:r>
              </w:p>
            </w:tc>
            <w:tc>
              <w:tcPr>
                <w:tcW w:w="1612" w:type="dxa"/>
              </w:tcPr>
              <w:p w14:paraId="2401E9CD"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color w:val="000000"/>
                    <w:sz w:val="24"/>
                    <w:szCs w:val="24"/>
                    <w:shd w:val="clear" w:color="auto" w:fill="FFFFFF"/>
                  </w:rPr>
                  <w:t>TNFα</w:t>
                </w:r>
              </w:p>
            </w:tc>
            <w:tc>
              <w:tcPr>
                <w:tcW w:w="1755" w:type="dxa"/>
              </w:tcPr>
              <w:p w14:paraId="78731717"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c>
              <w:tcPr>
                <w:tcW w:w="1373" w:type="dxa"/>
              </w:tcPr>
              <w:p w14:paraId="7249C157"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TRAF</w:t>
                </w:r>
              </w:p>
            </w:tc>
          </w:tr>
          <w:tr w:rsidR="00D96F31" w:rsidRPr="00031A83" w14:paraId="004CBF54" w14:textId="77777777" w:rsidTr="00A5732F">
            <w:trPr>
              <w:trHeight w:val="652"/>
            </w:trPr>
            <w:tc>
              <w:tcPr>
                <w:tcW w:w="1590" w:type="dxa"/>
              </w:tcPr>
              <w:p w14:paraId="0065190D"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RAB27/LAMP3</w:t>
                </w:r>
              </w:p>
            </w:tc>
            <w:tc>
              <w:tcPr>
                <w:tcW w:w="2005" w:type="dxa"/>
              </w:tcPr>
              <w:p w14:paraId="417EC637" w14:textId="77777777" w:rsidR="00D96F31" w:rsidRPr="00031A83" w:rsidRDefault="00D96F31" w:rsidP="00A5732F">
                <w:pPr>
                  <w:rPr>
                    <w:rFonts w:ascii="Times New Roman" w:hAnsi="Times New Roman" w:cs="Times New Roman"/>
                    <w:color w:val="000000"/>
                    <w:sz w:val="24"/>
                    <w:szCs w:val="24"/>
                    <w:shd w:val="clear" w:color="auto" w:fill="FFFFFF"/>
                  </w:rPr>
                </w:pPr>
                <w:r w:rsidRPr="00031A83">
                  <w:rPr>
                    <w:rFonts w:ascii="Times New Roman" w:hAnsi="Times New Roman" w:cs="Times New Roman"/>
                    <w:color w:val="000000"/>
                    <w:sz w:val="24"/>
                    <w:szCs w:val="24"/>
                    <w:shd w:val="clear" w:color="auto" w:fill="FFFFFF"/>
                  </w:rPr>
                  <w:t>CHRFAM7A</w:t>
                </w:r>
              </w:p>
              <w:p w14:paraId="3786F231" w14:textId="77777777" w:rsidR="00D96F31" w:rsidRPr="00031A83" w:rsidRDefault="00D96F31" w:rsidP="00A5732F">
                <w:pPr>
                  <w:rPr>
                    <w:rFonts w:ascii="Times New Roman" w:hAnsi="Times New Roman" w:cs="Times New Roman"/>
                    <w:color w:val="000000"/>
                    <w:sz w:val="24"/>
                    <w:szCs w:val="24"/>
                    <w:shd w:val="clear" w:color="auto" w:fill="FFFFFF"/>
                  </w:rPr>
                </w:pPr>
                <w:r w:rsidRPr="00031A83">
                  <w:rPr>
                    <w:rFonts w:ascii="Times New Roman" w:hAnsi="Times New Roman" w:cs="Times New Roman"/>
                    <w:color w:val="000000"/>
                    <w:sz w:val="24"/>
                    <w:szCs w:val="24"/>
                    <w:shd w:val="clear" w:color="auto" w:fill="FFFFFF"/>
                  </w:rPr>
                  <w:t>CHRNA7, CHRNA7</w:t>
                </w:r>
              </w:p>
            </w:tc>
            <w:tc>
              <w:tcPr>
                <w:tcW w:w="1996" w:type="dxa"/>
              </w:tcPr>
              <w:p w14:paraId="4F060B3B"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RAB27/LAMP3</w:t>
                </w:r>
              </w:p>
            </w:tc>
            <w:tc>
              <w:tcPr>
                <w:tcW w:w="1612" w:type="dxa"/>
              </w:tcPr>
              <w:p w14:paraId="35E9B093"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Chrna7</w:t>
                </w:r>
              </w:p>
            </w:tc>
            <w:tc>
              <w:tcPr>
                <w:tcW w:w="1755" w:type="dxa"/>
              </w:tcPr>
              <w:p w14:paraId="6127BE95"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X</w:t>
                </w:r>
              </w:p>
            </w:tc>
            <w:tc>
              <w:tcPr>
                <w:tcW w:w="1373" w:type="dxa"/>
              </w:tcPr>
              <w:p w14:paraId="4CC74966"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Eat-2</w:t>
                </w:r>
              </w:p>
              <w:p w14:paraId="14579DC8" w14:textId="77777777" w:rsidR="00D96F31" w:rsidRPr="00031A83" w:rsidRDefault="00D96F31" w:rsidP="00A5732F">
                <w:pPr>
                  <w:rPr>
                    <w:rFonts w:ascii="Times New Roman" w:hAnsi="Times New Roman" w:cs="Times New Roman"/>
                    <w:sz w:val="24"/>
                    <w:szCs w:val="24"/>
                  </w:rPr>
                </w:pPr>
                <w:r w:rsidRPr="00031A83">
                  <w:rPr>
                    <w:rFonts w:ascii="Times New Roman" w:hAnsi="Times New Roman" w:cs="Times New Roman"/>
                    <w:sz w:val="24"/>
                    <w:szCs w:val="24"/>
                  </w:rPr>
                  <w:t>Eat-18</w:t>
                </w:r>
              </w:p>
            </w:tc>
          </w:tr>
        </w:tbl>
        <w:p w14:paraId="1B549970" w14:textId="77777777" w:rsidR="00D96F31" w:rsidRPr="00031A83" w:rsidRDefault="00D96F31" w:rsidP="00D96F31">
          <w:pPr>
            <w:spacing w:line="240" w:lineRule="auto"/>
            <w:rPr>
              <w:rFonts w:ascii="Times New Roman" w:hAnsi="Times New Roman" w:cs="Times New Roman"/>
              <w:b/>
              <w:bCs/>
              <w:sz w:val="24"/>
              <w:szCs w:val="24"/>
            </w:rPr>
          </w:pPr>
        </w:p>
        <w:p w14:paraId="178F1FB4" w14:textId="77777777" w:rsidR="00D96F31" w:rsidRPr="00EA196C" w:rsidRDefault="00D96F31" w:rsidP="00D96F31">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Methods</w:t>
          </w:r>
        </w:p>
        <w:p w14:paraId="68BFFF39" w14:textId="77777777"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NHANES: Sample Population &amp; Inclusion Criteria</w:t>
          </w:r>
        </w:p>
        <w:p w14:paraId="28AF2ECF" w14:textId="2031C8B1" w:rsidR="00D96F31" w:rsidRPr="00EC22BB" w:rsidRDefault="00D96F31" w:rsidP="00EC22BB">
          <w:pPr>
            <w:spacing w:line="240" w:lineRule="auto"/>
            <w:ind w:firstLine="720"/>
            <w:rPr>
              <w:rFonts w:ascii="Times New Roman" w:hAnsi="Times New Roman" w:cs="Times New Roman"/>
              <w:kern w:val="36"/>
              <w:sz w:val="24"/>
              <w:szCs w:val="24"/>
            </w:rPr>
          </w:pPr>
          <w:r w:rsidRPr="00031A83">
            <w:rPr>
              <w:rFonts w:ascii="Times New Roman" w:hAnsi="Times New Roman" w:cs="Times New Roman"/>
              <w:sz w:val="24"/>
              <w:szCs w:val="24"/>
            </w:rPr>
            <w:t>The  objective of the study is to this study is to investigate if HS-CRP, an inflammatory biomarker associated with autophagy and longevity, is associated with serum zinc concentrations, zinc intake and alcohol consumption in a human population when adjusting for age, gender, race/ethnicity and BMI.</w:t>
          </w:r>
          <w:r w:rsidRPr="00031A83">
            <w:rPr>
              <w:rFonts w:ascii="Times New Roman" w:hAnsi="Times New Roman" w:cs="Times New Roman"/>
              <w:sz w:val="24"/>
              <w:szCs w:val="24"/>
              <w:vertAlign w:val="superscript"/>
            </w:rPr>
            <w:t xml:space="preserve">16-21 </w:t>
          </w:r>
          <w:r w:rsidRPr="00031A83">
            <w:rPr>
              <w:rFonts w:ascii="Times New Roman" w:hAnsi="Times New Roman" w:cs="Times New Roman"/>
              <w:kern w:val="36"/>
              <w:sz w:val="24"/>
              <w:szCs w:val="24"/>
            </w:rPr>
            <w:t>The National Health and Nutrition Examination Survey (NHANES) is a program created by the federal government to monitor the health status of the American population.</w:t>
          </w:r>
          <w:r w:rsidRPr="00031A83">
            <w:rPr>
              <w:rFonts w:ascii="Times New Roman" w:hAnsi="Times New Roman" w:cs="Times New Roman"/>
              <w:kern w:val="36"/>
              <w:sz w:val="24"/>
              <w:szCs w:val="24"/>
              <w:vertAlign w:val="superscript"/>
            </w:rPr>
            <w:t xml:space="preserve">28 </w:t>
          </w:r>
          <w:bookmarkStart w:id="1" w:name="_Hlk50974469"/>
          <w:r w:rsidRPr="00031A83">
            <w:rPr>
              <w:rFonts w:ascii="Times New Roman" w:hAnsi="Times New Roman" w:cs="Times New Roman"/>
              <w:kern w:val="36"/>
              <w:sz w:val="24"/>
              <w:szCs w:val="24"/>
            </w:rPr>
            <w:t xml:space="preserve">The study will evaluate the 2015-2016 NHANES dataset. This dataset is cross-sectional and will have a starting sample population of roughly 9900 participants. However, if a participant is under the age of 20, </w:t>
          </w:r>
          <w:r w:rsidR="001A6D8B">
            <w:rPr>
              <w:rFonts w:ascii="Times New Roman" w:hAnsi="Times New Roman" w:cs="Times New Roman"/>
              <w:kern w:val="36"/>
              <w:sz w:val="24"/>
              <w:szCs w:val="24"/>
            </w:rPr>
            <w:t>or if HS-CRP is missing or below rate of detection</w:t>
          </w:r>
          <w:r w:rsidR="00056FD3">
            <w:rPr>
              <w:rFonts w:ascii="Times New Roman" w:hAnsi="Times New Roman" w:cs="Times New Roman"/>
              <w:kern w:val="36"/>
              <w:sz w:val="24"/>
              <w:szCs w:val="24"/>
            </w:rPr>
            <w:t>, it will be excluded from the study.</w:t>
          </w:r>
          <w:r w:rsidRPr="00031A83">
            <w:rPr>
              <w:rFonts w:ascii="Times New Roman" w:hAnsi="Times New Roman" w:cs="Times New Roman"/>
              <w:kern w:val="36"/>
              <w:sz w:val="24"/>
              <w:szCs w:val="24"/>
            </w:rPr>
            <w:t xml:space="preserve"> </w:t>
          </w:r>
          <w:bookmarkEnd w:id="1"/>
          <w:r w:rsidRPr="00031A83">
            <w:rPr>
              <w:rFonts w:ascii="Times New Roman" w:hAnsi="Times New Roman" w:cs="Times New Roman"/>
              <w:color w:val="000000" w:themeColor="text1"/>
              <w:sz w:val="24"/>
              <w:szCs w:val="24"/>
            </w:rPr>
            <w:t>Information on how the exposures variables, outcome variable, covariates were gathered, processed and analyzed can be found here</w:t>
          </w:r>
          <w:r>
            <w:rPr>
              <w:rFonts w:ascii="Times New Roman" w:hAnsi="Times New Roman" w:cs="Times New Roman"/>
              <w:color w:val="000000" w:themeColor="text1"/>
              <w:sz w:val="24"/>
              <w:szCs w:val="24"/>
            </w:rPr>
            <w:t xml:space="preserve"> </w:t>
          </w:r>
          <w:hyperlink r:id="rId9" w:history="1">
            <w:r w:rsidRPr="00025D52">
              <w:rPr>
                <w:rStyle w:val="Hyperlink"/>
                <w:rFonts w:ascii="Times New Roman" w:hAnsi="Times New Roman" w:cs="Times New Roman"/>
                <w:sz w:val="24"/>
                <w:szCs w:val="24"/>
              </w:rPr>
              <w:t>https://wwwn.cdc.gov/Nchs/Nhanes/ContinuousNhanes/Default.aspx?BeginYear=2015</w:t>
            </w:r>
          </w:hyperlink>
          <w:r w:rsidRPr="00031A83">
            <w:rPr>
              <w:rFonts w:ascii="Times New Roman" w:hAnsi="Times New Roman" w:cs="Times New Roman"/>
              <w:color w:val="000000" w:themeColor="text1"/>
              <w:sz w:val="24"/>
              <w:szCs w:val="24"/>
            </w:rPr>
            <w:t xml:space="preserve">. </w:t>
          </w:r>
        </w:p>
        <w:p w14:paraId="63A393C3" w14:textId="7A6B80A4" w:rsidR="00D96F31"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Analysis</w:t>
          </w:r>
        </w:p>
        <w:p w14:paraId="05607681" w14:textId="37BE4A08" w:rsidR="00FF6D40" w:rsidRDefault="003632DC" w:rsidP="00503DD6">
          <w:pPr>
            <w:spacing w:line="240" w:lineRule="auto"/>
            <w:ind w:firstLine="720"/>
            <w:rPr>
              <w:rFonts w:ascii="Times New Roman" w:hAnsi="Times New Roman" w:cs="Times New Roman"/>
              <w:sz w:val="24"/>
              <w:szCs w:val="24"/>
              <w:lang w:val="en"/>
            </w:rPr>
          </w:pPr>
          <w:r w:rsidRPr="003632DC">
            <w:rPr>
              <w:rFonts w:ascii="Times New Roman" w:hAnsi="Times New Roman" w:cs="Times New Roman"/>
              <w:sz w:val="24"/>
              <w:szCs w:val="24"/>
            </w:rPr>
            <w:t>Data</w:t>
          </w:r>
          <w:r>
            <w:rPr>
              <w:rFonts w:ascii="Times New Roman" w:hAnsi="Times New Roman" w:cs="Times New Roman"/>
              <w:sz w:val="24"/>
              <w:szCs w:val="24"/>
            </w:rPr>
            <w:t xml:space="preserve"> will be downloaded from </w:t>
          </w:r>
          <w:r w:rsidR="003028DB">
            <w:rPr>
              <w:rFonts w:ascii="Times New Roman" w:hAnsi="Times New Roman" w:cs="Times New Roman"/>
              <w:sz w:val="24"/>
              <w:szCs w:val="24"/>
            </w:rPr>
            <w:t>the CDC</w:t>
          </w:r>
          <w:r w:rsidR="00D42E6B">
            <w:rPr>
              <w:rFonts w:ascii="Times New Roman" w:hAnsi="Times New Roman" w:cs="Times New Roman"/>
              <w:sz w:val="24"/>
              <w:szCs w:val="24"/>
            </w:rPr>
            <w:t xml:space="preserve"> </w:t>
          </w:r>
          <w:r w:rsidR="007E0B70">
            <w:rPr>
              <w:rFonts w:ascii="Times New Roman" w:hAnsi="Times New Roman" w:cs="Times New Roman"/>
              <w:sz w:val="24"/>
              <w:szCs w:val="24"/>
            </w:rPr>
            <w:t>and imported into R.</w:t>
          </w:r>
          <w:r w:rsidR="00D505E3">
            <w:rPr>
              <w:rFonts w:ascii="Times New Roman" w:hAnsi="Times New Roman" w:cs="Times New Roman"/>
              <w:sz w:val="24"/>
              <w:szCs w:val="24"/>
            </w:rPr>
            <w:t xml:space="preserve"> Then, </w:t>
          </w:r>
          <w:r w:rsidR="00167195">
            <w:rPr>
              <w:rFonts w:ascii="Times New Roman" w:hAnsi="Times New Roman" w:cs="Times New Roman"/>
              <w:sz w:val="24"/>
              <w:szCs w:val="24"/>
            </w:rPr>
            <w:t xml:space="preserve">all continuous variables will be recategorized into categorical variables, which </w:t>
          </w:r>
          <w:r w:rsidR="006B21EF">
            <w:rPr>
              <w:rFonts w:ascii="Times New Roman" w:hAnsi="Times New Roman" w:cs="Times New Roman"/>
              <w:sz w:val="24"/>
              <w:szCs w:val="24"/>
            </w:rPr>
            <w:t>except for</w:t>
          </w:r>
          <w:r w:rsidR="00167195">
            <w:rPr>
              <w:rFonts w:ascii="Times New Roman" w:hAnsi="Times New Roman" w:cs="Times New Roman"/>
              <w:sz w:val="24"/>
              <w:szCs w:val="24"/>
            </w:rPr>
            <w:t xml:space="preserve"> </w:t>
          </w:r>
          <w:r w:rsidR="00343F22">
            <w:rPr>
              <w:rFonts w:ascii="Times New Roman" w:hAnsi="Times New Roman" w:cs="Times New Roman"/>
              <w:sz w:val="24"/>
              <w:szCs w:val="24"/>
            </w:rPr>
            <w:t>age (as this is subjective)</w:t>
          </w:r>
          <w:r w:rsidR="00690283">
            <w:rPr>
              <w:rFonts w:ascii="Times New Roman" w:hAnsi="Times New Roman" w:cs="Times New Roman"/>
              <w:sz w:val="24"/>
              <w:szCs w:val="24"/>
            </w:rPr>
            <w:t>, will be categorized based off accepted medical reference ranges and or industry standards.</w:t>
          </w:r>
          <w:r w:rsidR="005E1F96">
            <w:rPr>
              <w:rFonts w:ascii="Times New Roman" w:hAnsi="Times New Roman" w:cs="Times New Roman"/>
              <w:sz w:val="24"/>
              <w:szCs w:val="24"/>
            </w:rPr>
            <w:t xml:space="preserve"> Descriptive stati</w:t>
          </w:r>
          <w:r w:rsidR="006674AE">
            <w:rPr>
              <w:rFonts w:ascii="Times New Roman" w:hAnsi="Times New Roman" w:cs="Times New Roman"/>
              <w:sz w:val="24"/>
              <w:szCs w:val="24"/>
            </w:rPr>
            <w:t xml:space="preserve">stic in terms of frequencies and percent will be </w:t>
          </w:r>
          <w:r w:rsidR="0045635A">
            <w:rPr>
              <w:rFonts w:ascii="Times New Roman" w:hAnsi="Times New Roman" w:cs="Times New Roman"/>
              <w:sz w:val="24"/>
              <w:szCs w:val="24"/>
            </w:rPr>
            <w:t>reported.</w:t>
          </w:r>
          <w:r w:rsidR="00690283">
            <w:rPr>
              <w:rFonts w:ascii="Times New Roman" w:hAnsi="Times New Roman" w:cs="Times New Roman"/>
              <w:sz w:val="24"/>
              <w:szCs w:val="24"/>
            </w:rPr>
            <w:t xml:space="preserve"> Likely, </w:t>
          </w:r>
          <w:r w:rsidR="006B21EF">
            <w:rPr>
              <w:rFonts w:ascii="Times New Roman" w:hAnsi="Times New Roman" w:cs="Times New Roman"/>
              <w:sz w:val="24"/>
              <w:szCs w:val="24"/>
            </w:rPr>
            <w:t>most variables will be missing data, s</w:t>
          </w:r>
          <w:r w:rsidR="00F33073">
            <w:rPr>
              <w:rFonts w:ascii="Times New Roman" w:hAnsi="Times New Roman" w:cs="Times New Roman"/>
              <w:sz w:val="24"/>
              <w:szCs w:val="24"/>
            </w:rPr>
            <w:t xml:space="preserve">o imputation methods via the </w:t>
          </w:r>
          <w:r w:rsidR="00271661">
            <w:rPr>
              <w:rFonts w:ascii="Times New Roman" w:hAnsi="Times New Roman" w:cs="Times New Roman"/>
              <w:sz w:val="24"/>
              <w:szCs w:val="24"/>
            </w:rPr>
            <w:t>algorithm</w:t>
          </w:r>
          <w:r w:rsidR="00F33073">
            <w:rPr>
              <w:rFonts w:ascii="Times New Roman" w:hAnsi="Times New Roman" w:cs="Times New Roman"/>
              <w:sz w:val="24"/>
              <w:szCs w:val="24"/>
            </w:rPr>
            <w:t xml:space="preserve"> (“</w:t>
          </w:r>
          <w:r w:rsidR="00E3265B">
            <w:rPr>
              <w:rFonts w:ascii="Times New Roman" w:hAnsi="Times New Roman" w:cs="Times New Roman"/>
              <w:sz w:val="24"/>
              <w:szCs w:val="24"/>
            </w:rPr>
            <w:t>MI</w:t>
          </w:r>
          <w:r w:rsidR="00786215">
            <w:rPr>
              <w:rFonts w:ascii="Times New Roman" w:hAnsi="Times New Roman" w:cs="Times New Roman"/>
              <w:sz w:val="24"/>
              <w:szCs w:val="24"/>
            </w:rPr>
            <w:t>CE</w:t>
          </w:r>
          <w:r w:rsidR="00F33073">
            <w:rPr>
              <w:rFonts w:ascii="Times New Roman" w:hAnsi="Times New Roman" w:cs="Times New Roman"/>
              <w:sz w:val="24"/>
              <w:szCs w:val="24"/>
            </w:rPr>
            <w:t>”) will be used</w:t>
          </w:r>
          <w:r w:rsidR="006D56AD">
            <w:rPr>
              <w:rFonts w:ascii="Times New Roman" w:hAnsi="Times New Roman" w:cs="Times New Roman"/>
              <w:sz w:val="24"/>
              <w:szCs w:val="24"/>
            </w:rPr>
            <w:t xml:space="preserve"> to reduce bias</w:t>
          </w:r>
          <w:r w:rsidR="00491C52">
            <w:rPr>
              <w:rFonts w:ascii="Times New Roman" w:hAnsi="Times New Roman" w:cs="Times New Roman"/>
              <w:sz w:val="24"/>
              <w:szCs w:val="24"/>
            </w:rPr>
            <w:t xml:space="preserve"> and will be inspected </w:t>
          </w:r>
          <w:r w:rsidR="00DB61FC">
            <w:rPr>
              <w:rFonts w:ascii="Times New Roman" w:hAnsi="Times New Roman" w:cs="Times New Roman"/>
              <w:sz w:val="24"/>
              <w:szCs w:val="24"/>
            </w:rPr>
            <w:t xml:space="preserve">thoroughly for its accuracy </w:t>
          </w:r>
          <w:r w:rsidR="00827570">
            <w:rPr>
              <w:rFonts w:ascii="Times New Roman" w:hAnsi="Times New Roman" w:cs="Times New Roman"/>
              <w:sz w:val="24"/>
              <w:szCs w:val="24"/>
            </w:rPr>
            <w:t xml:space="preserve">by </w:t>
          </w:r>
          <w:r w:rsidR="00DB61FC">
            <w:rPr>
              <w:rFonts w:ascii="Times New Roman" w:hAnsi="Times New Roman" w:cs="Times New Roman"/>
              <w:sz w:val="24"/>
              <w:szCs w:val="24"/>
            </w:rPr>
            <w:t>using</w:t>
          </w:r>
          <w:r w:rsidR="00285776">
            <w:rPr>
              <w:rFonts w:ascii="Times New Roman" w:hAnsi="Times New Roman" w:cs="Times New Roman"/>
              <w:sz w:val="24"/>
              <w:szCs w:val="24"/>
            </w:rPr>
            <w:t xml:space="preserve"> the</w:t>
          </w:r>
          <w:r w:rsidR="00827570">
            <w:rPr>
              <w:rFonts w:ascii="Times New Roman" w:hAnsi="Times New Roman" w:cs="Times New Roman"/>
              <w:sz w:val="24"/>
              <w:szCs w:val="24"/>
            </w:rPr>
            <w:t xml:space="preserve"> count</w:t>
          </w:r>
          <w:r w:rsidR="00285776">
            <w:rPr>
              <w:rFonts w:ascii="Times New Roman" w:hAnsi="Times New Roman" w:cs="Times New Roman"/>
              <w:sz w:val="24"/>
              <w:szCs w:val="24"/>
            </w:rPr>
            <w:t xml:space="preserve"> </w:t>
          </w:r>
          <w:r w:rsidR="00827570">
            <w:rPr>
              <w:rFonts w:ascii="Times New Roman" w:hAnsi="Times New Roman" w:cs="Times New Roman"/>
              <w:sz w:val="24"/>
              <w:szCs w:val="24"/>
            </w:rPr>
            <w:t xml:space="preserve">feature in the </w:t>
          </w:r>
          <w:r w:rsidR="00285776">
            <w:rPr>
              <w:rFonts w:ascii="Times New Roman" w:hAnsi="Times New Roman" w:cs="Times New Roman"/>
              <w:sz w:val="24"/>
              <w:szCs w:val="24"/>
            </w:rPr>
            <w:t>package</w:t>
          </w:r>
          <w:r w:rsidR="00827570">
            <w:rPr>
              <w:rFonts w:ascii="Times New Roman" w:hAnsi="Times New Roman" w:cs="Times New Roman"/>
              <w:sz w:val="24"/>
              <w:szCs w:val="24"/>
            </w:rPr>
            <w:t xml:space="preserve"> (“plyr”) </w:t>
          </w:r>
          <w:r w:rsidR="00F33073">
            <w:rPr>
              <w:rFonts w:ascii="Times New Roman" w:hAnsi="Times New Roman" w:cs="Times New Roman"/>
              <w:sz w:val="24"/>
              <w:szCs w:val="24"/>
            </w:rPr>
            <w:t>.</w:t>
          </w:r>
          <w:r w:rsidR="00E3265B">
            <w:rPr>
              <w:rFonts w:ascii="Times New Roman" w:hAnsi="Times New Roman" w:cs="Times New Roman"/>
              <w:sz w:val="24"/>
              <w:szCs w:val="24"/>
              <w:vertAlign w:val="superscript"/>
            </w:rPr>
            <w:t>29</w:t>
          </w:r>
          <w:r w:rsidR="00D96F31" w:rsidRPr="00031A83">
            <w:rPr>
              <w:rFonts w:ascii="Times New Roman" w:hAnsi="Times New Roman" w:cs="Times New Roman"/>
              <w:color w:val="000000"/>
              <w:sz w:val="24"/>
              <w:szCs w:val="24"/>
              <w:shd w:val="clear" w:color="auto" w:fill="FFFFFF"/>
            </w:rPr>
            <w:t xml:space="preserve"> </w:t>
          </w:r>
          <w:r w:rsidR="008020F2">
            <w:rPr>
              <w:rFonts w:ascii="Times New Roman" w:hAnsi="Times New Roman" w:cs="Times New Roman"/>
              <w:color w:val="000000"/>
              <w:sz w:val="24"/>
              <w:szCs w:val="24"/>
              <w:shd w:val="clear" w:color="auto" w:fill="FFFFFF"/>
            </w:rPr>
            <w:t>Ultimately,</w:t>
          </w:r>
          <w:r w:rsidR="00827570">
            <w:rPr>
              <w:rFonts w:ascii="Times New Roman" w:hAnsi="Times New Roman" w:cs="Times New Roman"/>
              <w:color w:val="000000"/>
              <w:sz w:val="24"/>
              <w:szCs w:val="24"/>
              <w:shd w:val="clear" w:color="auto" w:fill="FFFFFF"/>
            </w:rPr>
            <w:t xml:space="preserve"> t</w:t>
          </w:r>
          <w:r w:rsidR="00D96F31" w:rsidRPr="00031A83">
            <w:rPr>
              <w:rFonts w:ascii="Times New Roman" w:hAnsi="Times New Roman" w:cs="Times New Roman"/>
              <w:color w:val="000000"/>
              <w:sz w:val="24"/>
              <w:szCs w:val="24"/>
              <w:shd w:val="clear" w:color="auto" w:fill="FFFFFF"/>
            </w:rPr>
            <w:t xml:space="preserve">he NHANES dataset will be evaluated via a </w:t>
          </w:r>
          <w:r w:rsidR="006F08A5">
            <w:rPr>
              <w:rFonts w:ascii="Times New Roman" w:hAnsi="Times New Roman" w:cs="Times New Roman"/>
              <w:color w:val="000000"/>
              <w:sz w:val="24"/>
              <w:szCs w:val="24"/>
              <w:shd w:val="clear" w:color="auto" w:fill="FFFFFF"/>
            </w:rPr>
            <w:t xml:space="preserve">Bayesian </w:t>
          </w:r>
          <w:r w:rsidR="00523B47">
            <w:rPr>
              <w:rFonts w:ascii="Times New Roman" w:hAnsi="Times New Roman" w:cs="Times New Roman"/>
              <w:color w:val="000000"/>
              <w:sz w:val="24"/>
              <w:szCs w:val="24"/>
              <w:shd w:val="clear" w:color="auto" w:fill="FFFFFF"/>
            </w:rPr>
            <w:t>L</w:t>
          </w:r>
          <w:r w:rsidR="00D96F31" w:rsidRPr="00031A83">
            <w:rPr>
              <w:rFonts w:ascii="Times New Roman" w:hAnsi="Times New Roman" w:cs="Times New Roman"/>
              <w:color w:val="000000"/>
              <w:sz w:val="24"/>
              <w:szCs w:val="24"/>
              <w:shd w:val="clear" w:color="auto" w:fill="FFFFFF"/>
            </w:rPr>
            <w:t xml:space="preserve">ogistic </w:t>
          </w:r>
          <w:r w:rsidR="00523B47">
            <w:rPr>
              <w:rFonts w:ascii="Times New Roman" w:hAnsi="Times New Roman" w:cs="Times New Roman"/>
              <w:color w:val="000000"/>
              <w:sz w:val="24"/>
              <w:szCs w:val="24"/>
              <w:shd w:val="clear" w:color="auto" w:fill="FFFFFF"/>
            </w:rPr>
            <w:lastRenderedPageBreak/>
            <w:t>R</w:t>
          </w:r>
          <w:r w:rsidR="00D96F31" w:rsidRPr="00031A83">
            <w:rPr>
              <w:rFonts w:ascii="Times New Roman" w:hAnsi="Times New Roman" w:cs="Times New Roman"/>
              <w:color w:val="000000"/>
              <w:sz w:val="24"/>
              <w:szCs w:val="24"/>
              <w:shd w:val="clear" w:color="auto" w:fill="FFFFFF"/>
            </w:rPr>
            <w:t>egression</w:t>
          </w:r>
          <w:r w:rsidR="00B80167">
            <w:rPr>
              <w:rFonts w:ascii="Times New Roman" w:hAnsi="Times New Roman" w:cs="Times New Roman"/>
              <w:color w:val="000000"/>
              <w:sz w:val="24"/>
              <w:szCs w:val="24"/>
              <w:shd w:val="clear" w:color="auto" w:fill="FFFFFF"/>
            </w:rPr>
            <w:t xml:space="preserve"> ( u</w:t>
          </w:r>
          <w:r w:rsidR="00756DB8">
            <w:rPr>
              <w:rFonts w:ascii="Times New Roman" w:hAnsi="Times New Roman" w:cs="Times New Roman"/>
              <w:color w:val="000000"/>
              <w:sz w:val="24"/>
              <w:szCs w:val="24"/>
              <w:shd w:val="clear" w:color="auto" w:fill="FFFFFF"/>
            </w:rPr>
            <w:t>sing the brms package in R)</w:t>
          </w:r>
          <w:r w:rsidR="00D96F31" w:rsidRPr="00031A83">
            <w:rPr>
              <w:rFonts w:ascii="Times New Roman" w:hAnsi="Times New Roman" w:cs="Times New Roman"/>
              <w:color w:val="000000"/>
              <w:sz w:val="24"/>
              <w:szCs w:val="24"/>
              <w:shd w:val="clear" w:color="auto" w:fill="FFFFFF"/>
            </w:rPr>
            <w:t xml:space="preserve"> to determine if </w:t>
          </w:r>
          <w:r w:rsidR="00503DD6">
            <w:rPr>
              <w:rFonts w:ascii="Times New Roman" w:hAnsi="Times New Roman" w:cs="Times New Roman"/>
              <w:color w:val="000000"/>
              <w:sz w:val="24"/>
              <w:szCs w:val="24"/>
              <w:shd w:val="clear" w:color="auto" w:fill="FFFFFF"/>
            </w:rPr>
            <w:t>HS-</w:t>
          </w:r>
          <w:r w:rsidR="00D96F31" w:rsidRPr="00031A83">
            <w:rPr>
              <w:rFonts w:ascii="Times New Roman" w:hAnsi="Times New Roman" w:cs="Times New Roman"/>
              <w:sz w:val="24"/>
              <w:szCs w:val="24"/>
            </w:rPr>
            <w:t xml:space="preserve">CRP is associated with serum zinc concentrations, zinc intake and alcohol consumption when adjusting for age, gender, race/ethnicity and BMI. </w:t>
          </w:r>
          <w:r w:rsidR="00711ADE">
            <w:rPr>
              <w:rFonts w:ascii="Times New Roman" w:hAnsi="Times New Roman" w:cs="Times New Roman"/>
              <w:sz w:val="24"/>
              <w:szCs w:val="24"/>
            </w:rPr>
            <w:t xml:space="preserve"> </w:t>
          </w:r>
          <w:r w:rsidR="00756DB8">
            <w:rPr>
              <w:rFonts w:ascii="Times New Roman" w:hAnsi="Times New Roman" w:cs="Times New Roman"/>
              <w:sz w:val="24"/>
              <w:szCs w:val="24"/>
            </w:rPr>
            <w:t xml:space="preserve">The </w:t>
          </w:r>
          <w:r w:rsidR="00D96F31" w:rsidRPr="00031A83">
            <w:rPr>
              <w:rFonts w:ascii="Times New Roman" w:hAnsi="Times New Roman" w:cs="Times New Roman"/>
              <w:sz w:val="24"/>
              <w:szCs w:val="24"/>
              <w:lang w:val="en"/>
            </w:rPr>
            <w:t xml:space="preserve">analysis will report </w:t>
          </w:r>
          <w:r w:rsidR="00E50856">
            <w:rPr>
              <w:rFonts w:ascii="Times New Roman" w:hAnsi="Times New Roman" w:cs="Times New Roman"/>
              <w:sz w:val="24"/>
              <w:szCs w:val="24"/>
              <w:lang w:val="en"/>
            </w:rPr>
            <w:t>the</w:t>
          </w:r>
          <w:r w:rsidR="005A41F5">
            <w:rPr>
              <w:rFonts w:ascii="Times New Roman" w:hAnsi="Times New Roman" w:cs="Times New Roman"/>
              <w:sz w:val="24"/>
              <w:szCs w:val="24"/>
              <w:lang w:val="en"/>
            </w:rPr>
            <w:t xml:space="preserve"> priors used,</w:t>
          </w:r>
          <w:r w:rsidR="00E40912">
            <w:rPr>
              <w:rFonts w:ascii="Times New Roman" w:hAnsi="Times New Roman" w:cs="Times New Roman"/>
              <w:sz w:val="24"/>
              <w:szCs w:val="24"/>
              <w:lang w:val="en"/>
            </w:rPr>
            <w:t xml:space="preserve"> classification models, credible intervals, odds</w:t>
          </w:r>
          <w:r w:rsidR="00F50657">
            <w:rPr>
              <w:rFonts w:ascii="Times New Roman" w:hAnsi="Times New Roman" w:cs="Times New Roman"/>
              <w:sz w:val="24"/>
              <w:szCs w:val="24"/>
              <w:lang w:val="en"/>
            </w:rPr>
            <w:t xml:space="preserve"> ratio</w:t>
          </w:r>
          <w:r w:rsidR="00C8028C">
            <w:rPr>
              <w:rFonts w:ascii="Times New Roman" w:hAnsi="Times New Roman" w:cs="Times New Roman"/>
              <w:sz w:val="24"/>
              <w:szCs w:val="24"/>
              <w:lang w:val="en"/>
            </w:rPr>
            <w:t>, HDI</w:t>
          </w:r>
          <w:r w:rsidR="00F50657">
            <w:rPr>
              <w:rFonts w:ascii="Times New Roman" w:hAnsi="Times New Roman" w:cs="Times New Roman"/>
              <w:sz w:val="24"/>
              <w:szCs w:val="24"/>
              <w:lang w:val="en"/>
            </w:rPr>
            <w:t xml:space="preserve"> and</w:t>
          </w:r>
          <w:r w:rsidR="00C06673">
            <w:rPr>
              <w:rFonts w:ascii="Times New Roman" w:hAnsi="Times New Roman" w:cs="Times New Roman"/>
              <w:sz w:val="24"/>
              <w:szCs w:val="24"/>
              <w:lang w:val="en"/>
            </w:rPr>
            <w:t xml:space="preserve"> AUC.</w:t>
          </w:r>
        </w:p>
        <w:p w14:paraId="6815EB95" w14:textId="77777777" w:rsidR="00D96F31" w:rsidRPr="00031A83" w:rsidRDefault="00D96F31" w:rsidP="00D96F31">
          <w:pPr>
            <w:tabs>
              <w:tab w:val="left" w:pos="3000"/>
            </w:tabs>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GEO Profiles: Sample Population and Inclusion Criteria</w:t>
          </w:r>
        </w:p>
        <w:p w14:paraId="2BFBA15A" w14:textId="72D06582" w:rsidR="00D96F31" w:rsidRPr="00031A83" w:rsidRDefault="00D96F31" w:rsidP="00D96F31">
          <w:pPr>
            <w:tabs>
              <w:tab w:val="left" w:pos="3000"/>
            </w:tabs>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All the datasets for objective</w:t>
          </w:r>
          <w:r w:rsidR="00E858FE">
            <w:rPr>
              <w:rFonts w:ascii="Times New Roman" w:hAnsi="Times New Roman" w:cs="Times New Roman"/>
              <w:sz w:val="24"/>
              <w:szCs w:val="24"/>
            </w:rPr>
            <w:t>s</w:t>
          </w:r>
          <w:r w:rsidRPr="00031A83">
            <w:rPr>
              <w:rFonts w:ascii="Times New Roman" w:hAnsi="Times New Roman" w:cs="Times New Roman"/>
              <w:sz w:val="24"/>
              <w:szCs w:val="24"/>
            </w:rPr>
            <w:t xml:space="preserve"> two </w:t>
          </w:r>
          <w:r>
            <w:rPr>
              <w:rFonts w:ascii="Times New Roman" w:hAnsi="Times New Roman" w:cs="Times New Roman"/>
              <w:sz w:val="24"/>
              <w:szCs w:val="24"/>
            </w:rPr>
            <w:t xml:space="preserve">and three </w:t>
          </w:r>
          <w:r w:rsidRPr="00031A83">
            <w:rPr>
              <w:rFonts w:ascii="Times New Roman" w:hAnsi="Times New Roman" w:cs="Times New Roman"/>
              <w:sz w:val="24"/>
              <w:szCs w:val="24"/>
            </w:rPr>
            <w:t>derive from the Gene Expression Omnibus repository of National Center for Biotechnology of the National Institute of Health.</w:t>
          </w:r>
          <w:r w:rsidRPr="00031A83">
            <w:rPr>
              <w:rFonts w:ascii="Times New Roman" w:hAnsi="Times New Roman" w:cs="Times New Roman"/>
              <w:sz w:val="24"/>
              <w:szCs w:val="24"/>
              <w:vertAlign w:val="superscript"/>
            </w:rPr>
            <w:t>30</w:t>
          </w:r>
          <w:r w:rsidRPr="00031A83">
            <w:rPr>
              <w:rFonts w:ascii="Times New Roman" w:hAnsi="Times New Roman" w:cs="Times New Roman"/>
              <w:sz w:val="24"/>
              <w:szCs w:val="24"/>
            </w:rPr>
            <w:t xml:space="preserve"> The datasets </w:t>
          </w:r>
          <w:r w:rsidR="00154E0F">
            <w:rPr>
              <w:rFonts w:ascii="Times New Roman" w:hAnsi="Times New Roman" w:cs="Times New Roman"/>
              <w:sz w:val="24"/>
              <w:szCs w:val="24"/>
            </w:rPr>
            <w:t>are listed in the supplementary file attached to this proposal and featured a mixture of micro</w:t>
          </w:r>
          <w:r w:rsidR="00D45074">
            <w:rPr>
              <w:rFonts w:ascii="Times New Roman" w:hAnsi="Times New Roman" w:cs="Times New Roman"/>
              <w:sz w:val="24"/>
              <w:szCs w:val="24"/>
            </w:rPr>
            <w:t>array and RNA-</w:t>
          </w:r>
          <w:r w:rsidR="00E82B6C">
            <w:rPr>
              <w:rFonts w:ascii="Times New Roman" w:hAnsi="Times New Roman" w:cs="Times New Roman"/>
              <w:sz w:val="24"/>
              <w:szCs w:val="24"/>
            </w:rPr>
            <w:t>s</w:t>
          </w:r>
          <w:r w:rsidR="00D45074">
            <w:rPr>
              <w:rFonts w:ascii="Times New Roman" w:hAnsi="Times New Roman" w:cs="Times New Roman"/>
              <w:sz w:val="24"/>
              <w:szCs w:val="24"/>
            </w:rPr>
            <w:t>eq data.</w:t>
          </w:r>
          <w:r w:rsidR="00E93EDF">
            <w:rPr>
              <w:rFonts w:ascii="Times New Roman" w:hAnsi="Times New Roman" w:cs="Times New Roman"/>
              <w:sz w:val="24"/>
              <w:szCs w:val="24"/>
            </w:rPr>
            <w:t xml:space="preserve"> Both types of data feature </w:t>
          </w:r>
          <w:r w:rsidRPr="00031A83">
            <w:rPr>
              <w:rFonts w:ascii="Times New Roman" w:hAnsi="Times New Roman" w:cs="Times New Roman"/>
              <w:sz w:val="24"/>
              <w:szCs w:val="24"/>
            </w:rPr>
            <w:t xml:space="preserve">human, murine and worm samples.  </w:t>
          </w:r>
          <w:commentRangeStart w:id="2"/>
          <w:r w:rsidRPr="00031A83">
            <w:rPr>
              <w:rFonts w:ascii="Times New Roman" w:hAnsi="Times New Roman" w:cs="Times New Roman"/>
              <w:sz w:val="24"/>
              <w:szCs w:val="24"/>
            </w:rPr>
            <w:t xml:space="preserve">In terms of the inclusion criteria for this proposal, the dataset needed to be upload to GEO profiles and it had to be related to zinc, autophagy, biological aging, longevity to be considered for analysis. More specifically, subjects were supplemented or consume zinc during their lifetime and then had to either undergo autophagy or be analyzed in the context of aging and or longevity. </w:t>
          </w:r>
          <w:commentRangeEnd w:id="2"/>
          <w:r w:rsidR="00356CAC">
            <w:rPr>
              <w:rStyle w:val="CommentReference"/>
            </w:rPr>
            <w:commentReference w:id="2"/>
          </w:r>
        </w:p>
        <w:p w14:paraId="6F69B496" w14:textId="3C565B5F" w:rsidR="00D96F31"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Processing &amp; Gene Identification:</w:t>
          </w:r>
          <w:r w:rsidR="002544C9">
            <w:rPr>
              <w:rFonts w:ascii="Times New Roman" w:hAnsi="Times New Roman" w:cs="Times New Roman"/>
              <w:b/>
              <w:bCs/>
              <w:sz w:val="24"/>
              <w:szCs w:val="24"/>
            </w:rPr>
            <w:t xml:space="preserve"> </w:t>
          </w:r>
        </w:p>
        <w:p w14:paraId="57FC122B" w14:textId="7CA118C3" w:rsidR="00974131" w:rsidRDefault="00974131" w:rsidP="00D96F31">
          <w:pPr>
            <w:spacing w:line="240" w:lineRule="auto"/>
            <w:rPr>
              <w:rFonts w:ascii="Times New Roman" w:hAnsi="Times New Roman" w:cs="Times New Roman"/>
              <w:b/>
              <w:bCs/>
              <w:sz w:val="24"/>
              <w:szCs w:val="24"/>
            </w:rPr>
          </w:pPr>
          <w:r>
            <w:rPr>
              <w:rFonts w:ascii="Times New Roman" w:hAnsi="Times New Roman" w:cs="Times New Roman"/>
              <w:b/>
              <w:bCs/>
              <w:sz w:val="24"/>
              <w:szCs w:val="24"/>
            </w:rPr>
            <w:t>RNA-seq Data</w:t>
          </w:r>
        </w:p>
        <w:p w14:paraId="0E07BBF7" w14:textId="5B036D5C" w:rsidR="00FE10D4" w:rsidRDefault="00FE10D4" w:rsidP="00D96F31">
          <w:pPr>
            <w:spacing w:line="240" w:lineRule="auto"/>
            <w:rPr>
              <w:rFonts w:ascii="Times New Roman" w:hAnsi="Times New Roman" w:cs="Times New Roman"/>
              <w:sz w:val="24"/>
              <w:szCs w:val="24"/>
              <w:vertAlign w:val="superscript"/>
            </w:rPr>
          </w:pPr>
          <w:r>
            <w:rPr>
              <w:rFonts w:ascii="Times New Roman" w:hAnsi="Times New Roman" w:cs="Times New Roman"/>
              <w:b/>
              <w:bCs/>
              <w:sz w:val="24"/>
              <w:szCs w:val="24"/>
            </w:rPr>
            <w:tab/>
          </w:r>
          <w:r w:rsidR="000A2D10">
            <w:rPr>
              <w:rFonts w:ascii="Times New Roman" w:hAnsi="Times New Roman" w:cs="Times New Roman"/>
              <w:sz w:val="24"/>
              <w:szCs w:val="24"/>
            </w:rPr>
            <w:t>For the datasets that derive from RNA-Seq, t</w:t>
          </w:r>
          <w:r>
            <w:rPr>
              <w:rFonts w:ascii="Times New Roman" w:hAnsi="Times New Roman" w:cs="Times New Roman"/>
              <w:sz w:val="24"/>
              <w:szCs w:val="24"/>
            </w:rPr>
            <w:t>he raw</w:t>
          </w:r>
          <w:r w:rsidR="006227C0">
            <w:rPr>
              <w:rFonts w:ascii="Times New Roman" w:hAnsi="Times New Roman" w:cs="Times New Roman"/>
              <w:sz w:val="24"/>
              <w:szCs w:val="24"/>
            </w:rPr>
            <w:t xml:space="preserve"> </w:t>
          </w:r>
          <w:r w:rsidR="007577A9">
            <w:rPr>
              <w:rFonts w:ascii="Times New Roman" w:hAnsi="Times New Roman" w:cs="Times New Roman"/>
              <w:sz w:val="24"/>
              <w:szCs w:val="24"/>
            </w:rPr>
            <w:t xml:space="preserve">FASTQ </w:t>
          </w:r>
          <w:r w:rsidR="006227C0">
            <w:rPr>
              <w:rFonts w:ascii="Times New Roman" w:hAnsi="Times New Roman" w:cs="Times New Roman"/>
              <w:sz w:val="24"/>
              <w:szCs w:val="24"/>
            </w:rPr>
            <w:t>files will be downloaded from</w:t>
          </w:r>
          <w:r w:rsidR="00150EB1">
            <w:rPr>
              <w:rFonts w:ascii="Times New Roman" w:hAnsi="Times New Roman" w:cs="Times New Roman"/>
              <w:sz w:val="24"/>
              <w:szCs w:val="24"/>
            </w:rPr>
            <w:t xml:space="preserve"> the appropriate datasets.</w:t>
          </w:r>
          <w:r w:rsidR="00AB6AAE">
            <w:rPr>
              <w:rFonts w:ascii="Times New Roman" w:hAnsi="Times New Roman" w:cs="Times New Roman"/>
              <w:sz w:val="24"/>
              <w:szCs w:val="24"/>
            </w:rPr>
            <w:t xml:space="preserve"> Then a QC report will be generated to see if the data needs to be</w:t>
          </w:r>
          <w:r w:rsidR="00090B30">
            <w:rPr>
              <w:rFonts w:ascii="Times New Roman" w:hAnsi="Times New Roman" w:cs="Times New Roman"/>
              <w:sz w:val="24"/>
              <w:szCs w:val="24"/>
            </w:rPr>
            <w:t xml:space="preserve"> trimmed.</w:t>
          </w:r>
          <w:r w:rsidR="00090B30">
            <w:rPr>
              <w:rFonts w:ascii="Times New Roman" w:hAnsi="Times New Roman" w:cs="Times New Roman"/>
              <w:sz w:val="24"/>
              <w:szCs w:val="24"/>
              <w:vertAlign w:val="superscript"/>
            </w:rPr>
            <w:t>31</w:t>
          </w:r>
          <w:r w:rsidR="00F77851">
            <w:rPr>
              <w:rFonts w:ascii="Times New Roman" w:hAnsi="Times New Roman" w:cs="Times New Roman"/>
              <w:sz w:val="24"/>
              <w:szCs w:val="24"/>
            </w:rPr>
            <w:t xml:space="preserve"> Once the data passes the quality control measures</w:t>
          </w:r>
          <w:r w:rsidR="00BA708A">
            <w:rPr>
              <w:rFonts w:ascii="Times New Roman" w:hAnsi="Times New Roman" w:cs="Times New Roman"/>
              <w:sz w:val="24"/>
              <w:szCs w:val="24"/>
            </w:rPr>
            <w:t>, it will be passed through the</w:t>
          </w:r>
          <w:r w:rsidR="004E24BF">
            <w:rPr>
              <w:rFonts w:ascii="Times New Roman" w:hAnsi="Times New Roman" w:cs="Times New Roman"/>
              <w:sz w:val="24"/>
              <w:szCs w:val="24"/>
            </w:rPr>
            <w:t xml:space="preserve"> aligner HISAT2</w:t>
          </w:r>
          <w:r w:rsidR="004A0DE3">
            <w:rPr>
              <w:rFonts w:ascii="Times New Roman" w:hAnsi="Times New Roman" w:cs="Times New Roman"/>
              <w:sz w:val="24"/>
              <w:szCs w:val="24"/>
            </w:rPr>
            <w:t xml:space="preserve"> to generate assigned reads</w:t>
          </w:r>
          <w:r w:rsidR="00496D7C">
            <w:rPr>
              <w:rFonts w:ascii="Times New Roman" w:hAnsi="Times New Roman" w:cs="Times New Roman"/>
              <w:sz w:val="24"/>
              <w:szCs w:val="24"/>
            </w:rPr>
            <w:t xml:space="preserve">. Then, it </w:t>
          </w:r>
          <w:r w:rsidR="00B546D6">
            <w:rPr>
              <w:rFonts w:ascii="Times New Roman" w:hAnsi="Times New Roman" w:cs="Times New Roman"/>
              <w:sz w:val="24"/>
              <w:szCs w:val="24"/>
            </w:rPr>
            <w:t>aligns</w:t>
          </w:r>
          <w:r w:rsidR="00320854">
            <w:rPr>
              <w:rFonts w:ascii="Times New Roman" w:hAnsi="Times New Roman" w:cs="Times New Roman"/>
              <w:sz w:val="24"/>
              <w:szCs w:val="24"/>
            </w:rPr>
            <w:t xml:space="preserve"> the assign</w:t>
          </w:r>
          <w:r w:rsidR="00B546D6">
            <w:rPr>
              <w:rFonts w:ascii="Times New Roman" w:hAnsi="Times New Roman" w:cs="Times New Roman"/>
              <w:sz w:val="24"/>
              <w:szCs w:val="24"/>
            </w:rPr>
            <w:t>ed</w:t>
          </w:r>
          <w:r w:rsidR="00320854">
            <w:rPr>
              <w:rFonts w:ascii="Times New Roman" w:hAnsi="Times New Roman" w:cs="Times New Roman"/>
              <w:sz w:val="24"/>
              <w:szCs w:val="24"/>
            </w:rPr>
            <w:t xml:space="preserve"> genes via </w:t>
          </w:r>
          <w:r w:rsidR="000518CA">
            <w:rPr>
              <w:rFonts w:ascii="Times New Roman" w:hAnsi="Times New Roman" w:cs="Times New Roman"/>
              <w:sz w:val="24"/>
              <w:szCs w:val="24"/>
            </w:rPr>
            <w:t>HT-Seq.</w:t>
          </w:r>
          <w:r w:rsidR="000518CA">
            <w:rPr>
              <w:rFonts w:ascii="Times New Roman" w:hAnsi="Times New Roman" w:cs="Times New Roman"/>
              <w:sz w:val="24"/>
              <w:szCs w:val="24"/>
              <w:vertAlign w:val="superscript"/>
            </w:rPr>
            <w:t>31</w:t>
          </w:r>
          <w:r w:rsidR="000518CA">
            <w:rPr>
              <w:rFonts w:ascii="Times New Roman" w:hAnsi="Times New Roman" w:cs="Times New Roman"/>
              <w:sz w:val="24"/>
              <w:szCs w:val="24"/>
            </w:rPr>
            <w:t xml:space="preserve"> These</w:t>
          </w:r>
          <w:r w:rsidR="00E7564D">
            <w:rPr>
              <w:rFonts w:ascii="Times New Roman" w:hAnsi="Times New Roman" w:cs="Times New Roman"/>
              <w:sz w:val="24"/>
              <w:szCs w:val="24"/>
            </w:rPr>
            <w:t xml:space="preserve"> processes</w:t>
          </w:r>
          <w:r w:rsidR="00A0334D">
            <w:rPr>
              <w:rFonts w:ascii="Times New Roman" w:hAnsi="Times New Roman" w:cs="Times New Roman"/>
              <w:sz w:val="24"/>
              <w:szCs w:val="24"/>
            </w:rPr>
            <w:t xml:space="preserve"> requiring </w:t>
          </w:r>
          <w:r w:rsidR="00B546D6">
            <w:rPr>
              <w:rFonts w:ascii="Times New Roman" w:hAnsi="Times New Roman" w:cs="Times New Roman"/>
              <w:sz w:val="24"/>
              <w:szCs w:val="24"/>
            </w:rPr>
            <w:t xml:space="preserve">significant computing power, so </w:t>
          </w:r>
          <w:r w:rsidR="00550DBB">
            <w:rPr>
              <w:rFonts w:ascii="Times New Roman" w:hAnsi="Times New Roman" w:cs="Times New Roman"/>
              <w:sz w:val="24"/>
              <w:szCs w:val="24"/>
            </w:rPr>
            <w:t>it</w:t>
          </w:r>
          <w:r w:rsidR="00B546D6">
            <w:rPr>
              <w:rFonts w:ascii="Times New Roman" w:hAnsi="Times New Roman" w:cs="Times New Roman"/>
              <w:sz w:val="24"/>
              <w:szCs w:val="24"/>
            </w:rPr>
            <w:t xml:space="preserve"> </w:t>
          </w:r>
          <w:r w:rsidR="00E7564D">
            <w:rPr>
              <w:rFonts w:ascii="Times New Roman" w:hAnsi="Times New Roman" w:cs="Times New Roman"/>
              <w:sz w:val="24"/>
              <w:szCs w:val="24"/>
            </w:rPr>
            <w:t xml:space="preserve">will be </w:t>
          </w:r>
          <w:r w:rsidR="009923AA">
            <w:rPr>
              <w:rFonts w:ascii="Times New Roman" w:hAnsi="Times New Roman" w:cs="Times New Roman"/>
              <w:sz w:val="24"/>
              <w:szCs w:val="24"/>
            </w:rPr>
            <w:t xml:space="preserve">conducted using the computers </w:t>
          </w:r>
          <w:r w:rsidR="00E7420A">
            <w:rPr>
              <w:rFonts w:ascii="Times New Roman" w:hAnsi="Times New Roman" w:cs="Times New Roman"/>
              <w:sz w:val="24"/>
              <w:szCs w:val="24"/>
            </w:rPr>
            <w:t>that belong to the Statistical Machine</w:t>
          </w:r>
          <w:r w:rsidR="009923AA">
            <w:rPr>
              <w:rFonts w:ascii="Times New Roman" w:hAnsi="Times New Roman" w:cs="Times New Roman"/>
              <w:sz w:val="24"/>
              <w:szCs w:val="24"/>
            </w:rPr>
            <w:t xml:space="preserve"> </w:t>
          </w:r>
          <w:r w:rsidR="00E7420A">
            <w:rPr>
              <w:rFonts w:ascii="Times New Roman" w:hAnsi="Times New Roman" w:cs="Times New Roman"/>
              <w:sz w:val="24"/>
              <w:szCs w:val="24"/>
            </w:rPr>
            <w:t>Learning Group at FIU.</w:t>
          </w:r>
          <w:r w:rsidR="00E7420A">
            <w:rPr>
              <w:rFonts w:ascii="Times New Roman" w:hAnsi="Times New Roman" w:cs="Times New Roman"/>
              <w:sz w:val="24"/>
              <w:szCs w:val="24"/>
              <w:vertAlign w:val="superscript"/>
            </w:rPr>
            <w:t>32</w:t>
          </w:r>
          <w:r w:rsidR="00974131">
            <w:rPr>
              <w:rFonts w:ascii="Times New Roman" w:hAnsi="Times New Roman" w:cs="Times New Roman"/>
              <w:sz w:val="24"/>
              <w:szCs w:val="24"/>
            </w:rPr>
            <w:t xml:space="preserve"> From here, the data will be analyzed </w:t>
          </w:r>
          <w:r w:rsidR="00E0622B">
            <w:rPr>
              <w:rFonts w:ascii="Times New Roman" w:hAnsi="Times New Roman" w:cs="Times New Roman"/>
              <w:sz w:val="24"/>
              <w:szCs w:val="24"/>
            </w:rPr>
            <w:t>using DESeq2 in R.</w:t>
          </w:r>
          <w:r w:rsidR="00AA763C">
            <w:rPr>
              <w:rFonts w:ascii="Times New Roman" w:hAnsi="Times New Roman" w:cs="Times New Roman"/>
              <w:sz w:val="24"/>
              <w:szCs w:val="24"/>
              <w:vertAlign w:val="superscript"/>
            </w:rPr>
            <w:t>33</w:t>
          </w:r>
          <w:r w:rsidR="00B45E06">
            <w:rPr>
              <w:rFonts w:ascii="Times New Roman" w:hAnsi="Times New Roman" w:cs="Times New Roman"/>
              <w:sz w:val="24"/>
              <w:szCs w:val="24"/>
            </w:rPr>
            <w:t xml:space="preserve"> For determination of the differentially expressed genes</w:t>
          </w:r>
          <w:r w:rsidR="008735D5">
            <w:rPr>
              <w:rFonts w:ascii="Times New Roman" w:hAnsi="Times New Roman" w:cs="Times New Roman"/>
              <w:sz w:val="24"/>
              <w:szCs w:val="24"/>
            </w:rPr>
            <w:t>, a FDR of &lt;0.05</w:t>
          </w:r>
          <w:r w:rsidR="00E1120C">
            <w:rPr>
              <w:rFonts w:ascii="Times New Roman" w:hAnsi="Times New Roman" w:cs="Times New Roman"/>
              <w:sz w:val="24"/>
              <w:szCs w:val="24"/>
            </w:rPr>
            <w:t xml:space="preserve"> will be used.</w:t>
          </w:r>
          <w:r w:rsidR="00E1120C">
            <w:rPr>
              <w:rFonts w:ascii="Times New Roman" w:hAnsi="Times New Roman" w:cs="Times New Roman"/>
              <w:sz w:val="24"/>
              <w:szCs w:val="24"/>
              <w:vertAlign w:val="superscript"/>
            </w:rPr>
            <w:t>33</w:t>
          </w:r>
        </w:p>
        <w:p w14:paraId="2D874BC6" w14:textId="7E083323" w:rsidR="00E1120C" w:rsidRPr="00B547A1" w:rsidRDefault="00E1120C" w:rsidP="00D96F31">
          <w:pPr>
            <w:spacing w:line="240" w:lineRule="auto"/>
            <w:rPr>
              <w:rFonts w:ascii="Times New Roman" w:hAnsi="Times New Roman" w:cs="Times New Roman"/>
              <w:b/>
              <w:bCs/>
              <w:sz w:val="24"/>
              <w:szCs w:val="24"/>
            </w:rPr>
          </w:pPr>
          <w:r>
            <w:rPr>
              <w:rFonts w:ascii="Times New Roman" w:hAnsi="Times New Roman" w:cs="Times New Roman"/>
              <w:b/>
              <w:bCs/>
              <w:sz w:val="24"/>
              <w:szCs w:val="24"/>
            </w:rPr>
            <w:t>Micro</w:t>
          </w:r>
          <w:r w:rsidR="00B547A1">
            <w:rPr>
              <w:rFonts w:ascii="Times New Roman" w:hAnsi="Times New Roman" w:cs="Times New Roman"/>
              <w:b/>
              <w:bCs/>
              <w:sz w:val="24"/>
              <w:szCs w:val="24"/>
            </w:rPr>
            <w:t>array</w:t>
          </w:r>
          <w:r>
            <w:rPr>
              <w:rFonts w:ascii="Times New Roman" w:hAnsi="Times New Roman" w:cs="Times New Roman"/>
              <w:b/>
              <w:bCs/>
              <w:sz w:val="24"/>
              <w:szCs w:val="24"/>
            </w:rPr>
            <w:t xml:space="preserve"> </w:t>
          </w:r>
        </w:p>
        <w:p w14:paraId="4541D5DA" w14:textId="7C311980"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The datasets will be downloaded and processed to sort the genes.  Any gene expression missing a value, unvaried, minimum, and maximum will be excluded.</w:t>
          </w:r>
          <w:r w:rsidRPr="00031A83">
            <w:rPr>
              <w:rFonts w:ascii="Times New Roman" w:hAnsi="Times New Roman" w:cs="Times New Roman"/>
              <w:sz w:val="24"/>
              <w:szCs w:val="24"/>
              <w:vertAlign w:val="superscript"/>
            </w:rPr>
            <w:t>3</w:t>
          </w:r>
          <w:r w:rsidR="00857CFC">
            <w:rPr>
              <w:rFonts w:ascii="Times New Roman" w:hAnsi="Times New Roman" w:cs="Times New Roman"/>
              <w:sz w:val="24"/>
              <w:szCs w:val="24"/>
              <w:vertAlign w:val="superscript"/>
            </w:rPr>
            <w:t>4</w:t>
          </w:r>
          <w:r w:rsidRPr="00031A83">
            <w:rPr>
              <w:rFonts w:ascii="Times New Roman" w:hAnsi="Times New Roman" w:cs="Times New Roman"/>
              <w:sz w:val="24"/>
              <w:szCs w:val="24"/>
            </w:rPr>
            <w:t xml:space="preserve"> If a gene is repeated, the average of that expression will be found.  The annotated information (Headers) will be renamed (i.e. control vs experiment). The header for gene expression values will be renamed to gene. Then, limma package will be downloaded from R to calculate the logFC (logarithmic fold-changes) based off the gene expression difference between the control and experimental groups( </w:t>
          </w:r>
          <w:r w:rsidRPr="00031A83">
            <w:rPr>
              <w:rFonts w:ascii="Times New Roman" w:hAnsi="Times New Roman" w:cs="Times New Roman"/>
              <w:color w:val="000000"/>
              <w:sz w:val="24"/>
              <w:szCs w:val="24"/>
              <w:shd w:val="clear" w:color="auto" w:fill="FFFFFF"/>
            </w:rPr>
            <w:t> |logFC|≥2 )</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3</w:t>
          </w:r>
          <w:r w:rsidR="00857CFC">
            <w:rPr>
              <w:rFonts w:ascii="Times New Roman" w:hAnsi="Times New Roman" w:cs="Times New Roman"/>
              <w:sz w:val="24"/>
              <w:szCs w:val="24"/>
              <w:vertAlign w:val="superscript"/>
            </w:rPr>
            <w:t>4</w:t>
          </w:r>
          <w:r w:rsidRPr="00031A83">
            <w:rPr>
              <w:rFonts w:ascii="Times New Roman" w:hAnsi="Times New Roman" w:cs="Times New Roman"/>
              <w:sz w:val="24"/>
              <w:szCs w:val="24"/>
            </w:rPr>
            <w:t xml:space="preserve"> Also, the adjusted p-value , p &lt; 0.05, will be reported.</w:t>
          </w:r>
        </w:p>
        <w:p w14:paraId="09B5F3AD" w14:textId="627935AA"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sz w:val="24"/>
              <w:szCs w:val="24"/>
            </w:rPr>
            <w:tab/>
            <w:t>Once the significant, differentially expressed genes are determined, their potential microRNA targets will be analyzed. MicroRNAs have a variety of target mRNAs, therefore bioinformatic tools need to be used in the analysis. Targetscan</w:t>
          </w:r>
          <w:r>
            <w:rPr>
              <w:rFonts w:ascii="Times New Roman" w:hAnsi="Times New Roman" w:cs="Times New Roman"/>
              <w:sz w:val="24"/>
              <w:szCs w:val="24"/>
            </w:rPr>
            <w:t>’s</w:t>
          </w:r>
          <w:r w:rsidRPr="00031A83">
            <w:rPr>
              <w:rFonts w:ascii="Times New Roman" w:hAnsi="Times New Roman" w:cs="Times New Roman"/>
              <w:sz w:val="24"/>
              <w:szCs w:val="24"/>
            </w:rPr>
            <w:t xml:space="preserve">  (</w:t>
          </w:r>
          <w:hyperlink r:id="rId14" w:history="1">
            <w:r w:rsidRPr="00031A83">
              <w:rPr>
                <w:rStyle w:val="Hyperlink"/>
                <w:rFonts w:ascii="Times New Roman" w:hAnsi="Times New Roman" w:cs="Times New Roman"/>
                <w:sz w:val="24"/>
                <w:szCs w:val="24"/>
              </w:rPr>
              <w:t>http://www.targetscan.org/vert_71/</w:t>
            </w:r>
          </w:hyperlink>
          <w:r w:rsidRPr="00031A83">
            <w:rPr>
              <w:rFonts w:ascii="Times New Roman" w:hAnsi="Times New Roman" w:cs="Times New Roman"/>
              <w:sz w:val="24"/>
              <w:szCs w:val="24"/>
            </w:rPr>
            <w:t>) rat, mouse, human and worm will be used to predict the complementary sequence. Combining the data generated, variational Bayesian Gaussian mixture model will be used to calculate that targetscore of the gene, which predicts their targets.</w:t>
          </w:r>
          <w:r w:rsidRPr="00031A83">
            <w:rPr>
              <w:rFonts w:ascii="Times New Roman" w:hAnsi="Times New Roman" w:cs="Times New Roman"/>
              <w:sz w:val="24"/>
              <w:szCs w:val="24"/>
              <w:vertAlign w:val="superscript"/>
            </w:rPr>
            <w:t>3</w:t>
          </w:r>
          <w:r w:rsidR="000369AA">
            <w:rPr>
              <w:rFonts w:ascii="Times New Roman" w:hAnsi="Times New Roman" w:cs="Times New Roman"/>
              <w:sz w:val="24"/>
              <w:szCs w:val="24"/>
              <w:vertAlign w:val="superscript"/>
            </w:rPr>
            <w:t>4</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sz w:val="24"/>
              <w:szCs w:val="24"/>
            </w:rPr>
            <w:t>Targetscore calculations will follow the method proposed by Li et al  via Limma and DESeq packages on R.</w:t>
          </w:r>
          <w:r w:rsidR="007D2C7E">
            <w:rPr>
              <w:rFonts w:ascii="Times New Roman" w:hAnsi="Times New Roman" w:cs="Times New Roman"/>
              <w:sz w:val="24"/>
              <w:szCs w:val="24"/>
              <w:vertAlign w:val="superscript"/>
            </w:rPr>
            <w:t>35</w:t>
          </w:r>
          <w:r w:rsidRPr="00031A83">
            <w:rPr>
              <w:rFonts w:ascii="Times New Roman" w:hAnsi="Times New Roman" w:cs="Times New Roman"/>
              <w:sz w:val="24"/>
              <w:szCs w:val="24"/>
            </w:rPr>
            <w:t xml:space="preserve"> Briefly, it uses a Variation Bayesian-Gaussian Mixture Model to improve accuracy of the targets and prevents overfitting. It equates microRNA-mRNA interactions to the posterior distribution ( estimated from the distribution of observed variables and targetscore </w:t>
          </w:r>
          <w:r w:rsidRPr="00031A83">
            <w:rPr>
              <w:rFonts w:ascii="Times New Roman" w:hAnsi="Times New Roman" w:cs="Times New Roman"/>
              <w:sz w:val="24"/>
              <w:szCs w:val="24"/>
            </w:rPr>
            <w:lastRenderedPageBreak/>
            <w:t>value) , the logFC , Targetscan’s generated  probability of conserved targeting and its context score as the prior and calculates the likelihood, following Bayes Formula.</w:t>
          </w:r>
          <w:r w:rsidRPr="00031A83">
            <w:rPr>
              <w:rFonts w:ascii="Times New Roman" w:hAnsi="Times New Roman" w:cs="Times New Roman"/>
              <w:sz w:val="24"/>
              <w:szCs w:val="24"/>
              <w:vertAlign w:val="superscript"/>
            </w:rPr>
            <w:t>3</w:t>
          </w:r>
          <w:r w:rsidR="000369AA">
            <w:rPr>
              <w:rFonts w:ascii="Times New Roman" w:hAnsi="Times New Roman" w:cs="Times New Roman"/>
              <w:sz w:val="24"/>
              <w:szCs w:val="24"/>
              <w:vertAlign w:val="superscript"/>
            </w:rPr>
            <w:t>4</w:t>
          </w:r>
          <w:r w:rsidRPr="00031A83">
            <w:rPr>
              <w:rFonts w:ascii="Times New Roman" w:hAnsi="Times New Roman" w:cs="Times New Roman"/>
              <w:sz w:val="24"/>
              <w:szCs w:val="24"/>
              <w:vertAlign w:val="superscript"/>
            </w:rPr>
            <w:t>-3</w:t>
          </w:r>
          <w:r w:rsidR="007D2C7E">
            <w:rPr>
              <w:rFonts w:ascii="Times New Roman" w:hAnsi="Times New Roman" w:cs="Times New Roman"/>
              <w:sz w:val="24"/>
              <w:szCs w:val="24"/>
              <w:vertAlign w:val="superscript"/>
            </w:rPr>
            <w:t>5</w:t>
          </w:r>
        </w:p>
        <w:p w14:paraId="2451E168" w14:textId="77777777"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Promoter and Pathway Analysis</w:t>
          </w:r>
        </w:p>
        <w:p w14:paraId="7441170A" w14:textId="5B2B046E"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w:t>
          </w:r>
          <w:r w:rsidRPr="00031A83">
            <w:rPr>
              <w:rFonts w:ascii="Times New Roman" w:hAnsi="Times New Roman" w:cs="Times New Roman"/>
              <w:sz w:val="24"/>
              <w:szCs w:val="24"/>
            </w:rPr>
            <w:tab/>
            <w:t>To understand and determine potential pathways of the  differentially expressed genes and their microRNAs, DIANE-TarBase  (</w:t>
          </w:r>
          <w:hyperlink r:id="rId15" w:history="1">
            <w:r w:rsidRPr="00031A83">
              <w:rPr>
                <w:rStyle w:val="Hyperlink"/>
                <w:rFonts w:ascii="Times New Roman" w:hAnsi="Times New Roman" w:cs="Times New Roman"/>
                <w:sz w:val="24"/>
                <w:szCs w:val="24"/>
              </w:rPr>
              <w:t>https://carolina.imis.athena-innovation.gr/diana_tools/web/index.php</w:t>
            </w:r>
          </w:hyperlink>
          <w:r w:rsidRPr="00031A83">
            <w:rPr>
              <w:rFonts w:ascii="Times New Roman" w:hAnsi="Times New Roman" w:cs="Times New Roman"/>
              <w:sz w:val="24"/>
              <w:szCs w:val="24"/>
            </w:rPr>
            <w:t>) and Gencodis (</w:t>
          </w:r>
          <w:hyperlink r:id="rId16" w:history="1">
            <w:r w:rsidRPr="00031A83">
              <w:rPr>
                <w:rFonts w:ascii="Times New Roman" w:hAnsi="Times New Roman" w:cs="Times New Roman"/>
                <w:sz w:val="24"/>
                <w:szCs w:val="24"/>
              </w:rPr>
              <w:t>https://genecodis.genyo.es</w:t>
            </w:r>
          </w:hyperlink>
          <w:r w:rsidRPr="00031A83">
            <w:rPr>
              <w:rFonts w:ascii="Times New Roman" w:hAnsi="Times New Roman" w:cs="Times New Roman"/>
              <w:sz w:val="24"/>
              <w:szCs w:val="24"/>
            </w:rPr>
            <w:t>)  will be used.  DIANE-TarBase is a centralized resource that is used to validate miRNA- target information based on experimental data ( for example, if the relationship between a microRNA and gene is up or downregulated).</w:t>
          </w:r>
          <w:r w:rsidRPr="00031A83">
            <w:rPr>
              <w:rFonts w:ascii="Times New Roman" w:hAnsi="Times New Roman" w:cs="Times New Roman"/>
              <w:sz w:val="24"/>
              <w:szCs w:val="24"/>
              <w:vertAlign w:val="superscript"/>
            </w:rPr>
            <w:t>3</w:t>
          </w:r>
          <w:r w:rsidR="00324CC9">
            <w:rPr>
              <w:rFonts w:ascii="Times New Roman" w:hAnsi="Times New Roman" w:cs="Times New Roman"/>
              <w:sz w:val="24"/>
              <w:szCs w:val="24"/>
              <w:vertAlign w:val="superscript"/>
            </w:rPr>
            <w:t>5</w:t>
          </w:r>
          <w:r w:rsidRPr="00031A83">
            <w:rPr>
              <w:rFonts w:ascii="Times New Roman" w:hAnsi="Times New Roman" w:cs="Times New Roman"/>
              <w:sz w:val="24"/>
              <w:szCs w:val="24"/>
              <w:vertAlign w:val="superscript"/>
            </w:rPr>
            <w:t>-3</w:t>
          </w:r>
          <w:r w:rsidR="00324CC9">
            <w:rPr>
              <w:rFonts w:ascii="Times New Roman" w:hAnsi="Times New Roman" w:cs="Times New Roman"/>
              <w:sz w:val="24"/>
              <w:szCs w:val="24"/>
              <w:vertAlign w:val="superscript"/>
            </w:rPr>
            <w:t>6</w:t>
          </w:r>
          <w:r w:rsidRPr="00031A83">
            <w:rPr>
              <w:rFonts w:ascii="Times New Roman" w:hAnsi="Times New Roman" w:cs="Times New Roman"/>
              <w:sz w:val="24"/>
              <w:szCs w:val="24"/>
            </w:rPr>
            <w:t xml:space="preserve"> For DIANE-TARbase, one just enters the appropriate information ( i.e. species, gene and microRNA of</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sz w:val="24"/>
              <w:szCs w:val="24"/>
            </w:rPr>
            <w:t>interest) to retrieve results. Genecodis works by providing functional annotations to the miRNA and the genes based off the current literature ( this will the researchers understand what the genes do and if they are affiliated with any regulators).</w:t>
          </w:r>
          <w:r w:rsidRPr="00031A83">
            <w:rPr>
              <w:rFonts w:ascii="Times New Roman" w:hAnsi="Times New Roman" w:cs="Times New Roman"/>
              <w:sz w:val="24"/>
              <w:szCs w:val="24"/>
              <w:vertAlign w:val="superscript"/>
            </w:rPr>
            <w:t>3</w:t>
          </w:r>
          <w:r w:rsidR="00FC56C8">
            <w:rPr>
              <w:rFonts w:ascii="Times New Roman" w:hAnsi="Times New Roman" w:cs="Times New Roman"/>
              <w:sz w:val="24"/>
              <w:szCs w:val="24"/>
              <w:vertAlign w:val="superscript"/>
            </w:rPr>
            <w:t>5</w:t>
          </w:r>
          <w:r w:rsidR="004C486C">
            <w:rPr>
              <w:rFonts w:ascii="Times New Roman" w:hAnsi="Times New Roman" w:cs="Times New Roman"/>
              <w:sz w:val="24"/>
              <w:szCs w:val="24"/>
              <w:vertAlign w:val="superscript"/>
            </w:rPr>
            <w:t>-3</w:t>
          </w:r>
          <w:r w:rsidR="00FC56C8">
            <w:rPr>
              <w:rFonts w:ascii="Times New Roman" w:hAnsi="Times New Roman" w:cs="Times New Roman"/>
              <w:sz w:val="24"/>
              <w:szCs w:val="24"/>
              <w:vertAlign w:val="superscript"/>
            </w:rPr>
            <w:t>6</w:t>
          </w:r>
          <w:r w:rsidRPr="00031A83">
            <w:rPr>
              <w:rFonts w:ascii="Times New Roman" w:hAnsi="Times New Roman" w:cs="Times New Roman"/>
              <w:sz w:val="24"/>
              <w:szCs w:val="24"/>
            </w:rPr>
            <w:t xml:space="preserve"> For this study, the most promising differentially expressed genes and their targets will be uploaded and (under the function tab)  Gene Ontology classification as well as the Kyoto Encyclopedia of Genes and Genome will be selected in the analysis.</w:t>
          </w:r>
          <w:r w:rsidRPr="00031A83">
            <w:rPr>
              <w:rFonts w:ascii="Times New Roman" w:hAnsi="Times New Roman" w:cs="Times New Roman"/>
              <w:sz w:val="24"/>
              <w:szCs w:val="24"/>
              <w:vertAlign w:val="superscript"/>
            </w:rPr>
            <w:t>3</w:t>
          </w:r>
          <w:r w:rsidR="00AA2178">
            <w:rPr>
              <w:rFonts w:ascii="Times New Roman" w:hAnsi="Times New Roman" w:cs="Times New Roman"/>
              <w:sz w:val="24"/>
              <w:szCs w:val="24"/>
              <w:vertAlign w:val="superscript"/>
            </w:rPr>
            <w:t>5</w:t>
          </w:r>
          <w:r w:rsidRPr="00031A83">
            <w:rPr>
              <w:rFonts w:ascii="Times New Roman" w:hAnsi="Times New Roman" w:cs="Times New Roman"/>
              <w:sz w:val="24"/>
              <w:szCs w:val="24"/>
              <w:vertAlign w:val="superscript"/>
            </w:rPr>
            <w:t>-</w:t>
          </w:r>
          <w:r w:rsidR="00AA2178">
            <w:rPr>
              <w:rFonts w:ascii="Times New Roman" w:hAnsi="Times New Roman" w:cs="Times New Roman"/>
              <w:sz w:val="24"/>
              <w:szCs w:val="24"/>
              <w:vertAlign w:val="superscript"/>
            </w:rPr>
            <w:t>37</w:t>
          </w:r>
          <w:r w:rsidRPr="00031A83">
            <w:rPr>
              <w:rFonts w:ascii="Times New Roman" w:hAnsi="Times New Roman" w:cs="Times New Roman"/>
              <w:sz w:val="24"/>
              <w:szCs w:val="24"/>
            </w:rPr>
            <w:t>Additionally, under the tab Regulatory, miRNAs (miRTarBase)  will be selected as well. The false discovery rate of</w:t>
          </w:r>
          <w:r>
            <w:rPr>
              <w:rFonts w:ascii="Times New Roman" w:hAnsi="Times New Roman" w:cs="Times New Roman"/>
              <w:sz w:val="24"/>
              <w:szCs w:val="24"/>
            </w:rPr>
            <w:t xml:space="preserve"> p </w:t>
          </w:r>
          <w:r w:rsidRPr="00031A83">
            <w:rPr>
              <w:rFonts w:ascii="Times New Roman" w:hAnsi="Times New Roman" w:cs="Times New Roman"/>
              <w:sz w:val="24"/>
              <w:szCs w:val="24"/>
            </w:rPr>
            <w:t>&lt; 0.05 will be used and log</w:t>
          </w:r>
          <w:r w:rsidRPr="00031A83">
            <w:rPr>
              <w:rFonts w:ascii="Times New Roman" w:hAnsi="Times New Roman" w:cs="Times New Roman"/>
              <w:sz w:val="24"/>
              <w:szCs w:val="24"/>
              <w:vertAlign w:val="subscript"/>
            </w:rPr>
            <w:t xml:space="preserve">10 </w:t>
          </w:r>
          <w:r w:rsidRPr="00031A83">
            <w:rPr>
              <w:rFonts w:ascii="Times New Roman" w:hAnsi="Times New Roman" w:cs="Times New Roman"/>
              <w:sz w:val="24"/>
              <w:szCs w:val="24"/>
            </w:rPr>
            <w:t>adjusted p-value will be generated.</w:t>
          </w:r>
        </w:p>
        <w:p w14:paraId="001DC6AF" w14:textId="77777777" w:rsidR="00D96F31" w:rsidRPr="00031A83" w:rsidRDefault="00D96F31" w:rsidP="00D96F31">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Bayesian Network</w:t>
          </w:r>
        </w:p>
        <w:p w14:paraId="115BD85B" w14:textId="53673533" w:rsidR="00D96F31" w:rsidRPr="00031A83" w:rsidRDefault="00D96F31" w:rsidP="00D96F31">
          <w:pPr>
            <w:spacing w:before="240" w:line="240" w:lineRule="auto"/>
            <w:ind w:firstLine="720"/>
            <w:rPr>
              <w:rFonts w:ascii="Times New Roman" w:hAnsi="Times New Roman" w:cs="Times New Roman"/>
              <w:sz w:val="24"/>
              <w:szCs w:val="24"/>
              <w:vertAlign w:val="superscript"/>
            </w:rPr>
          </w:pPr>
          <w:r w:rsidRPr="00031A83">
            <w:rPr>
              <w:rFonts w:ascii="Times New Roman" w:hAnsi="Times New Roman" w:cs="Times New Roman"/>
              <w:sz w:val="24"/>
              <w:szCs w:val="24"/>
            </w:rPr>
            <w:t>These kinds of networks are composed of directed acyclic graphs where the nodes are the random variable and the edge between two nodes illustrates the dependency between the variables.</w:t>
          </w:r>
          <w:r w:rsidR="001F0D63">
            <w:rPr>
              <w:rFonts w:ascii="Times New Roman" w:hAnsi="Times New Roman" w:cs="Times New Roman"/>
              <w:sz w:val="24"/>
              <w:szCs w:val="24"/>
              <w:vertAlign w:val="superscript"/>
            </w:rPr>
            <w:t>3</w:t>
          </w:r>
          <w:r w:rsidR="00164B4B">
            <w:rPr>
              <w:rFonts w:ascii="Times New Roman" w:hAnsi="Times New Roman" w:cs="Times New Roman"/>
              <w:sz w:val="24"/>
              <w:szCs w:val="24"/>
              <w:vertAlign w:val="superscript"/>
            </w:rPr>
            <w:t>7</w:t>
          </w:r>
          <w:r w:rsidRPr="00031A83">
            <w:rPr>
              <w:rFonts w:ascii="Times New Roman" w:hAnsi="Times New Roman" w:cs="Times New Roman"/>
              <w:sz w:val="24"/>
              <w:szCs w:val="24"/>
            </w:rPr>
            <w:t xml:space="preserve"> In terms of this experiment, microRNA-target genes and regulator will be exploited to determine if they can be correctly distinguished ageing gene samples from the control samples in the datasets.</w:t>
          </w:r>
          <w:r w:rsidR="00164B4B">
            <w:rPr>
              <w:rFonts w:ascii="Times New Roman" w:hAnsi="Times New Roman" w:cs="Times New Roman"/>
              <w:sz w:val="24"/>
              <w:szCs w:val="24"/>
              <w:vertAlign w:val="superscript"/>
            </w:rPr>
            <w:t>38</w:t>
          </w:r>
          <w:r w:rsidRPr="00031A83">
            <w:rPr>
              <w:rFonts w:ascii="Times New Roman" w:hAnsi="Times New Roman" w:cs="Times New Roman"/>
              <w:sz w:val="24"/>
              <w:szCs w:val="24"/>
            </w:rPr>
            <w:t xml:space="preserve"> Using GeNIe (https://www.bayesfusion.com)  and R, the log-likelihood of the control and experimental groups will be calculated.</w:t>
          </w:r>
          <w:r w:rsidR="00164B4B">
            <w:rPr>
              <w:rFonts w:ascii="Times New Roman" w:hAnsi="Times New Roman" w:cs="Times New Roman"/>
              <w:sz w:val="24"/>
              <w:szCs w:val="24"/>
              <w:vertAlign w:val="superscript"/>
            </w:rPr>
            <w:t>38</w:t>
          </w:r>
          <w:r w:rsidRPr="00031A83">
            <w:rPr>
              <w:rFonts w:ascii="Times New Roman" w:hAnsi="Times New Roman" w:cs="Times New Roman"/>
              <w:sz w:val="24"/>
              <w:szCs w:val="24"/>
            </w:rPr>
            <w:t xml:space="preserve"> Cases will be categorized as ageing if the Bayes Network models has a higher log-likelihood given specific evidence (interfaces with aging), compared to control. AUC will be computed to help determine accuracy of the model.</w:t>
          </w:r>
          <w:r w:rsidR="00164B4B">
            <w:rPr>
              <w:rFonts w:ascii="Times New Roman" w:hAnsi="Times New Roman" w:cs="Times New Roman"/>
              <w:sz w:val="24"/>
              <w:szCs w:val="24"/>
              <w:vertAlign w:val="superscript"/>
            </w:rPr>
            <w:t>38</w:t>
          </w:r>
          <w:r w:rsidRPr="00031A83">
            <w:rPr>
              <w:rFonts w:ascii="Times New Roman" w:hAnsi="Times New Roman" w:cs="Times New Roman"/>
              <w:sz w:val="24"/>
              <w:szCs w:val="24"/>
            </w:rPr>
            <w:t xml:space="preserve"> </w:t>
          </w:r>
          <w:commentRangeStart w:id="3"/>
          <w:r w:rsidRPr="00031A83">
            <w:rPr>
              <w:rFonts w:ascii="Times New Roman" w:hAnsi="Times New Roman" w:cs="Times New Roman"/>
              <w:sz w:val="24"/>
              <w:szCs w:val="24"/>
            </w:rPr>
            <w:t>Finally, the proposed model will be compared with models created by well-known algorithms such as Random Forest and Naïve Bayes to help evaluate their potential usefulness.</w:t>
          </w:r>
          <w:r w:rsidR="00164B4B">
            <w:rPr>
              <w:rFonts w:ascii="Times New Roman" w:hAnsi="Times New Roman" w:cs="Times New Roman"/>
              <w:sz w:val="24"/>
              <w:szCs w:val="24"/>
              <w:vertAlign w:val="superscript"/>
            </w:rPr>
            <w:t>38</w:t>
          </w:r>
          <w:commentRangeEnd w:id="3"/>
          <w:r w:rsidR="00356CAC">
            <w:rPr>
              <w:rStyle w:val="CommentReference"/>
            </w:rPr>
            <w:commentReference w:id="3"/>
          </w:r>
        </w:p>
      </w:sdtContent>
    </w:sdt>
    <w:p w14:paraId="0B87D80E" w14:textId="77777777" w:rsidR="00D96F31" w:rsidRPr="00031A83" w:rsidRDefault="00D96F31" w:rsidP="00D96F31">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t xml:space="preserve">Significance </w:t>
      </w:r>
    </w:p>
    <w:p w14:paraId="75784D62" w14:textId="77777777" w:rsidR="00D96F31" w:rsidRPr="00031A83" w:rsidRDefault="00D96F31" w:rsidP="00D96F3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Overall, if the results of this study are validated, it will contribute to our limited understanding on zinc interfaces with biological aging and longevity on a population and molecular level. Further, if pathways are conserved via different species, this will provide additional evidence to the uniform theory of aging (which has yet to be proven). On a practical scale, the results generated may help in the creation, screening and analysis of markers related to biological aging and longevity as well as provide insight into the mechanism of the disease process, as the risk for heart disease, cancer, autoimmune diseases and Alzheimer’s disease increases with age. Finally, to our knowledge, no one has conducted this kind of analysis in the context of biological aging and longevity or has attempted to link common themes from NHANES and GEO Profiles. </w:t>
      </w:r>
    </w:p>
    <w:p w14:paraId="233D92C2" w14:textId="77777777" w:rsidR="00D96F31" w:rsidRDefault="00D96F31" w:rsidP="00D96F31">
      <w:pPr>
        <w:spacing w:line="360" w:lineRule="auto"/>
      </w:pPr>
    </w:p>
    <w:p w14:paraId="0C33E696" w14:textId="77777777" w:rsidR="00D96F31" w:rsidRDefault="00D96F31" w:rsidP="00D96F31"/>
    <w:p w14:paraId="3E21AE42" w14:textId="77777777" w:rsidR="00D96F31" w:rsidRDefault="00D96F31" w:rsidP="00D96F31"/>
    <w:p w14:paraId="2D26E26F" w14:textId="77777777" w:rsidR="00D96F31" w:rsidRDefault="00D96F31" w:rsidP="00D96F31"/>
    <w:p w14:paraId="47C9889A" w14:textId="77777777" w:rsidR="00D96F31" w:rsidRDefault="00D96F31" w:rsidP="00D96F31"/>
    <w:p w14:paraId="198A5257" w14:textId="77777777" w:rsidR="00D96F31" w:rsidRDefault="00D96F31" w:rsidP="00D96F31"/>
    <w:p w14:paraId="6A8597A3" w14:textId="77777777" w:rsidR="00D96F31" w:rsidRDefault="00D96F31" w:rsidP="00D96F31"/>
    <w:p w14:paraId="221745B9" w14:textId="77777777" w:rsidR="00D96F31" w:rsidRPr="00EA196C" w:rsidRDefault="00D96F31" w:rsidP="00D96F31">
      <w:r>
        <w:br w:type="page"/>
      </w:r>
      <w:r w:rsidRPr="00D14FC5">
        <w:rPr>
          <w:rFonts w:ascii="Times New Roman" w:hAnsi="Times New Roman"/>
          <w:b/>
          <w:bCs/>
        </w:rPr>
        <w:lastRenderedPageBreak/>
        <w:t>References:</w:t>
      </w:r>
    </w:p>
    <w:p w14:paraId="71DA8732"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hAnsi="Times New Roman" w:cs="Times New Roman"/>
        </w:rPr>
        <w:t xml:space="preserve">Liuzzi JP, Guo L, Yoo C, Stewart TS. Zinc and autophagy. </w:t>
      </w:r>
      <w:r w:rsidRPr="00FB63F8">
        <w:rPr>
          <w:rFonts w:ascii="Times New Roman" w:hAnsi="Times New Roman" w:cs="Times New Roman"/>
          <w:i/>
          <w:iCs/>
        </w:rPr>
        <w:t>BioMetals</w:t>
      </w:r>
      <w:r w:rsidRPr="00FB63F8">
        <w:rPr>
          <w:rFonts w:ascii="Times New Roman" w:hAnsi="Times New Roman" w:cs="Times New Roman"/>
        </w:rPr>
        <w:t>. 2014;27(6):1087-1096. doi:10.1007/s10534-014-9773-0</w:t>
      </w:r>
    </w:p>
    <w:p w14:paraId="678183D2"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hAnsi="Times New Roman" w:cs="Times New Roman"/>
        </w:rPr>
        <w:t xml:space="preserve">López-Otín, Carlos, Maria A. Blasco, Linda Partridge, Manuel Serrano, and Guido Kroemer. “The Hallmarks of Aging.” </w:t>
      </w:r>
      <w:r w:rsidRPr="00FB63F8">
        <w:rPr>
          <w:rFonts w:ascii="Times New Roman" w:hAnsi="Times New Roman" w:cs="Times New Roman"/>
          <w:i/>
          <w:iCs/>
        </w:rPr>
        <w:t>Cell</w:t>
      </w:r>
      <w:r w:rsidRPr="00FB63F8">
        <w:rPr>
          <w:rFonts w:ascii="Times New Roman" w:hAnsi="Times New Roman" w:cs="Times New Roman"/>
        </w:rPr>
        <w:t xml:space="preserve"> 153, no. 6 (2013): 1194–1217. https://doi.org/10.1016/j.cell.2013.05.039.</w:t>
      </w:r>
    </w:p>
    <w:p w14:paraId="6EAAF676"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shd w:val="clear" w:color="auto" w:fill="FFFFFF"/>
        </w:rPr>
        <w:t>Levine B, Packer M, Codogno P. Development of autophagy inducers in clinical medicine. </w:t>
      </w:r>
      <w:r w:rsidRPr="00FB63F8">
        <w:rPr>
          <w:rFonts w:ascii="Times New Roman" w:hAnsi="Times New Roman" w:cs="Times New Roman"/>
          <w:i/>
          <w:iCs/>
          <w:shd w:val="clear" w:color="auto" w:fill="FFFFFF"/>
        </w:rPr>
        <w:t>J Clin Invest</w:t>
      </w:r>
      <w:r w:rsidRPr="00FB63F8">
        <w:rPr>
          <w:rFonts w:ascii="Times New Roman" w:hAnsi="Times New Roman" w:cs="Times New Roman"/>
          <w:shd w:val="clear" w:color="auto" w:fill="FFFFFF"/>
        </w:rPr>
        <w:t>. 2015;125(1):14-24. doi:10.1172/JCI73938</w:t>
      </w:r>
    </w:p>
    <w:p w14:paraId="2FBE11A4"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Ryu D, Mouchiroud L, Andreux PA, et al. Urolithin A induces mitophagy and prolongs lifespan in C. elegans and increases muscle function in rodents. </w:t>
      </w:r>
      <w:r w:rsidRPr="00FB63F8">
        <w:rPr>
          <w:rFonts w:ascii="Times New Roman" w:eastAsia="Times New Roman" w:hAnsi="Times New Roman" w:cs="Times New Roman"/>
          <w:i/>
          <w:iCs/>
        </w:rPr>
        <w:t>Nature Medicine</w:t>
      </w:r>
      <w:r w:rsidRPr="00FB63F8">
        <w:rPr>
          <w:rFonts w:ascii="Times New Roman" w:eastAsia="Times New Roman" w:hAnsi="Times New Roman" w:cs="Times New Roman"/>
        </w:rPr>
        <w:t>. 2016;22(8):879-888. doi:10.1038/nm.4132.</w:t>
      </w:r>
    </w:p>
    <w:p w14:paraId="29B79553"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Nakamura S, Yoshimori T. Autophagy and Longevity. </w:t>
      </w:r>
      <w:r w:rsidRPr="00FB63F8">
        <w:rPr>
          <w:rFonts w:ascii="Times New Roman" w:eastAsia="Times New Roman" w:hAnsi="Times New Roman" w:cs="Times New Roman"/>
          <w:i/>
          <w:iCs/>
        </w:rPr>
        <w:t>Molecules and Cells</w:t>
      </w:r>
      <w:r w:rsidRPr="00FB63F8">
        <w:rPr>
          <w:rFonts w:ascii="Times New Roman" w:eastAsia="Times New Roman" w:hAnsi="Times New Roman" w:cs="Times New Roman"/>
        </w:rPr>
        <w:t>. 2018;41(1):65-72. doi:10.14348/molcells.2018.2333 .</w:t>
      </w:r>
    </w:p>
    <w:p w14:paraId="02E85557" w14:textId="77777777" w:rsidR="00D96F31"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Liuzzi JP, Yoo C. Role of Zinc in the Regulation of Autophagy During Ethanol Exposure in Human Hepatoma Cells. </w:t>
      </w:r>
      <w:r w:rsidRPr="00FB63F8">
        <w:rPr>
          <w:rFonts w:ascii="Times New Roman" w:eastAsia="Times New Roman" w:hAnsi="Times New Roman" w:cs="Times New Roman"/>
          <w:i/>
          <w:iCs/>
        </w:rPr>
        <w:t>Biological Trace Element Research</w:t>
      </w:r>
      <w:r w:rsidRPr="00FB63F8">
        <w:rPr>
          <w:rFonts w:ascii="Times New Roman" w:eastAsia="Times New Roman" w:hAnsi="Times New Roman" w:cs="Times New Roman"/>
        </w:rPr>
        <w:t>. 2013;156(1-3):350-356. doi:10.1007/s12011-013-9816-3.</w:t>
      </w:r>
    </w:p>
    <w:p w14:paraId="261EA953"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Cabrera ÁJ. Zinc, aging, and immunosenescence: an overview. </w:t>
      </w:r>
      <w:r w:rsidRPr="00FB63F8">
        <w:rPr>
          <w:rFonts w:ascii="Times New Roman" w:hAnsi="Times New Roman" w:cs="Times New Roman"/>
          <w:i/>
          <w:iCs/>
        </w:rPr>
        <w:t>Pathobiol Aging Age Relat Dis</w:t>
      </w:r>
      <w:r w:rsidRPr="00FB63F8">
        <w:rPr>
          <w:rFonts w:ascii="Times New Roman" w:hAnsi="Times New Roman" w:cs="Times New Roman"/>
        </w:rPr>
        <w:t>. 2015;5:25592. Published 2015 Feb 5. doi:10.3402/pba.v5.25592</w:t>
      </w:r>
    </w:p>
    <w:p w14:paraId="015289E9"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Barbosa MC, Grosso RA, Fader CM. Hallmarks of Aging: An Autophagic Perspective. </w:t>
      </w:r>
      <w:r w:rsidRPr="00FB63F8">
        <w:rPr>
          <w:rFonts w:ascii="Times New Roman" w:hAnsi="Times New Roman" w:cs="Times New Roman"/>
          <w:i/>
          <w:iCs/>
        </w:rPr>
        <w:t>Front Endocrinol (Lausanne)</w:t>
      </w:r>
      <w:r w:rsidRPr="00FB63F8">
        <w:rPr>
          <w:rFonts w:ascii="Times New Roman" w:hAnsi="Times New Roman" w:cs="Times New Roman"/>
        </w:rPr>
        <w:t>. 2019;9:790. Published 2019 Jan 9. doi:10.3389/fendo.2018.00790</w:t>
      </w:r>
    </w:p>
    <w:p w14:paraId="56814EF7"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Novakovic S, Molesworth LW, Gourley TE, Boag PR, Davis GM. Zinc transporters maintain longevity by influencing insulin/IGF‐1 activity in Caenorhabditis elegans. </w:t>
      </w:r>
      <w:r w:rsidRPr="00FB63F8">
        <w:rPr>
          <w:rFonts w:ascii="Times New Roman" w:eastAsia="Times New Roman" w:hAnsi="Times New Roman" w:cs="Times New Roman"/>
          <w:i/>
          <w:iCs/>
        </w:rPr>
        <w:t>FEBS Letters</w:t>
      </w:r>
      <w:r w:rsidRPr="00FB63F8">
        <w:rPr>
          <w:rFonts w:ascii="Times New Roman" w:eastAsia="Times New Roman" w:hAnsi="Times New Roman" w:cs="Times New Roman"/>
        </w:rPr>
        <w:t>. 2020. doi:10.1002/1873-3468.13725</w:t>
      </w:r>
    </w:p>
    <w:p w14:paraId="39BF30B9"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Kumar J, Barhydt T, Awasthi A, Lithgow GJ, Killilea DW, Kapahi P. Zinc Levels Modulate Lifespan through Multiple Longevity Pathways in Caenorhabditis elegans. </w:t>
      </w:r>
      <w:r w:rsidRPr="00FB63F8">
        <w:rPr>
          <w:rFonts w:ascii="Times New Roman" w:eastAsia="Times New Roman" w:hAnsi="Times New Roman" w:cs="Times New Roman"/>
          <w:i/>
          <w:iCs/>
        </w:rPr>
        <w:t>Plos One</w:t>
      </w:r>
      <w:r w:rsidRPr="00FB63F8">
        <w:rPr>
          <w:rFonts w:ascii="Times New Roman" w:eastAsia="Times New Roman" w:hAnsi="Times New Roman" w:cs="Times New Roman"/>
        </w:rPr>
        <w:t>. 2016;11(4). doi:10.1371/journal.pone.0153513</w:t>
      </w:r>
    </w:p>
    <w:p w14:paraId="76BD0A16" w14:textId="77777777" w:rsidR="00D96F31" w:rsidRPr="00FB63F8" w:rsidRDefault="00D96F31" w:rsidP="00D96F31">
      <w:pPr>
        <w:pStyle w:val="ListParagraph"/>
        <w:numPr>
          <w:ilvl w:val="0"/>
          <w:numId w:val="1"/>
        </w:numPr>
        <w:spacing w:before="100" w:beforeAutospacing="1" w:after="100" w:afterAutospacing="1" w:line="256" w:lineRule="auto"/>
        <w:rPr>
          <w:rFonts w:ascii="Times New Roman" w:hAnsi="Times New Roman" w:cs="Times New Roman"/>
        </w:rPr>
      </w:pPr>
      <w:r w:rsidRPr="00FB63F8">
        <w:rPr>
          <w:rFonts w:ascii="Times New Roman" w:hAnsi="Times New Roman" w:cs="Times New Roman"/>
        </w:rPr>
        <w:t xml:space="preserve">Mocchegiani E, Muzzioli M, Giacconi R.Zinc, metallothioneins, immunes responses, survival and ageing.  </w:t>
      </w:r>
      <w:r w:rsidRPr="00FB63F8">
        <w:rPr>
          <w:rFonts w:ascii="Times New Roman" w:hAnsi="Times New Roman" w:cs="Times New Roman"/>
          <w:i/>
          <w:iCs/>
        </w:rPr>
        <w:t>Biogerontology</w:t>
      </w:r>
      <w:r w:rsidRPr="00FB63F8">
        <w:rPr>
          <w:rFonts w:ascii="Times New Roman" w:hAnsi="Times New Roman" w:cs="Times New Roman"/>
        </w:rPr>
        <w:t xml:space="preserve">. 2000;1(2):133-143. doi:10.1023/a:1010095930854 </w:t>
      </w:r>
    </w:p>
    <w:p w14:paraId="4D38E8E0"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Mocchegiani E, Giacconi R, Cipriano C, et al. Zinc, Metallothioneins, and Longevity:: Effect of Zinc Supplementation: Zincage Study. </w:t>
      </w:r>
      <w:r w:rsidRPr="00FB63F8">
        <w:rPr>
          <w:rFonts w:ascii="Times New Roman" w:hAnsi="Times New Roman" w:cs="Times New Roman"/>
          <w:i/>
          <w:iCs/>
        </w:rPr>
        <w:t>Annals of the New York Academy of Sciences</w:t>
      </w:r>
      <w:r w:rsidRPr="00FB63F8">
        <w:rPr>
          <w:rFonts w:ascii="Times New Roman" w:hAnsi="Times New Roman" w:cs="Times New Roman"/>
        </w:rPr>
        <w:t>. 2007;1119(1):129-146. doi:10.1196/annals.1404.030</w:t>
      </w:r>
    </w:p>
    <w:p w14:paraId="1B4AAF05" w14:textId="77777777" w:rsidR="00D96F31" w:rsidRPr="00FB63F8" w:rsidRDefault="00D96F31" w:rsidP="00D96F31">
      <w:pPr>
        <w:pStyle w:val="NormalWeb"/>
        <w:numPr>
          <w:ilvl w:val="0"/>
          <w:numId w:val="1"/>
        </w:numPr>
        <w:rPr>
          <w:sz w:val="22"/>
          <w:szCs w:val="22"/>
        </w:rPr>
      </w:pPr>
      <w:r w:rsidRPr="00FB63F8">
        <w:rPr>
          <w:sz w:val="22"/>
          <w:szCs w:val="22"/>
        </w:rPr>
        <w:t xml:space="preserve">Bruinsma, Janelle J., Daniel L. Schneider, Diana E. Davis, and Kerry Kornfeld. “Identification of Mutations in Caenorhabditis Elegans That Cause Resistance to High Levels of Dietary Zinc and Analysis Using a Genomewide Map of Single Nucleotide Polymorphisms Scored by Pyrosequencing.” </w:t>
      </w:r>
      <w:r w:rsidRPr="00FB63F8">
        <w:rPr>
          <w:i/>
          <w:iCs/>
          <w:sz w:val="22"/>
          <w:szCs w:val="22"/>
        </w:rPr>
        <w:t>Genetics</w:t>
      </w:r>
      <w:r w:rsidRPr="00FB63F8">
        <w:rPr>
          <w:sz w:val="22"/>
          <w:szCs w:val="22"/>
        </w:rPr>
        <w:t xml:space="preserve"> 179, no. 2 (2008): 811–28. </w:t>
      </w:r>
      <w:hyperlink r:id="rId17" w:history="1">
        <w:r w:rsidRPr="00FB63F8">
          <w:rPr>
            <w:rStyle w:val="Hyperlink"/>
            <w:sz w:val="22"/>
            <w:szCs w:val="22"/>
          </w:rPr>
          <w:t>https://doi.org/10.1534/genetics.107.084384</w:t>
        </w:r>
      </w:hyperlink>
      <w:r w:rsidRPr="00FB63F8">
        <w:rPr>
          <w:sz w:val="22"/>
          <w:szCs w:val="22"/>
        </w:rPr>
        <w:t>.</w:t>
      </w:r>
    </w:p>
    <w:p w14:paraId="1B291DE6" w14:textId="77777777" w:rsidR="00D96F31" w:rsidRPr="00FB63F8" w:rsidRDefault="00D96F31" w:rsidP="00D96F31">
      <w:pPr>
        <w:numPr>
          <w:ilvl w:val="0"/>
          <w:numId w:val="1"/>
        </w:numPr>
        <w:autoSpaceDE w:val="0"/>
        <w:autoSpaceDN w:val="0"/>
        <w:spacing w:after="0" w:line="240" w:lineRule="auto"/>
        <w:rPr>
          <w:rFonts w:ascii="Times New Roman" w:hAnsi="Times New Roman" w:cs="Times New Roman"/>
          <w:kern w:val="36"/>
        </w:rPr>
      </w:pPr>
      <w:r w:rsidRPr="00FB63F8">
        <w:rPr>
          <w:rFonts w:ascii="Times New Roman" w:hAnsi="Times New Roman" w:cs="Times New Roman"/>
          <w:kern w:val="36"/>
        </w:rPr>
        <w:t>Fujihara J, Yasuda T, Kimura-Kataoka K, Takinami Y, Nagao M, Takeshita H. Association of SNPs in genes encoding zinc transporters on blood zinc levels in humans. Leg Med (Tokyo). 2018 Jan;30:28-33. doi: 10.1016/j.legalmed.2017.10.009. Epub 2017 Nov 9. PMID: 29149619.</w:t>
      </w:r>
    </w:p>
    <w:p w14:paraId="136CB42F"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shd w:val="clear" w:color="auto" w:fill="FFFFFF"/>
        </w:rPr>
        <w:t>Rentschler G, Kippler M, Axmon A, Raqib R, Skerfving S, Vahter M, Broberg K. Cadmium concentrations in human blood and urine are associated with polymorphisms in zinc transporter genes. Metallomics. 2014 Apr;6(4):885-91. doi: 10.1039/c3mt00365e. PMID: 24514587.</w:t>
      </w:r>
    </w:p>
    <w:p w14:paraId="4C492852"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Bello-Perez M, Pereiro P, Coll J, Novoa B, Perez L, Falco A. Zebrafish C-reactive protein isoforms inhibit SVCV replication by blocking autophagy through interactions with cell membrane cholesterol. </w:t>
      </w:r>
      <w:r w:rsidRPr="00FB63F8">
        <w:rPr>
          <w:rFonts w:ascii="Times New Roman" w:hAnsi="Times New Roman" w:cs="Times New Roman"/>
          <w:i/>
          <w:iCs/>
        </w:rPr>
        <w:t>Scientific Reports</w:t>
      </w:r>
      <w:r w:rsidRPr="00FB63F8">
        <w:rPr>
          <w:rFonts w:ascii="Times New Roman" w:hAnsi="Times New Roman" w:cs="Times New Roman"/>
        </w:rPr>
        <w:t>. 2020;10(1). doi:10.1038/s41598-020-57501-0.</w:t>
      </w:r>
    </w:p>
    <w:p w14:paraId="2D9CA2F0"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 Harris TB, Ferrucci L, Tracy RP, et al. Associations of elevated Interleukin-6 and C-Reactive protein levels with mortality in the elderly</w:t>
      </w:r>
      <w:r w:rsidRPr="00FB63F8">
        <w:rPr>
          <w:rFonts w:ascii="Cambria Math" w:hAnsi="Cambria Math" w:cs="Cambria Math"/>
        </w:rPr>
        <w:t>∗∗</w:t>
      </w:r>
      <w:r w:rsidRPr="00FB63F8">
        <w:rPr>
          <w:rFonts w:ascii="Times New Roman" w:hAnsi="Times New Roman" w:cs="Times New Roman"/>
        </w:rPr>
        <w:t xml:space="preserve">Access the “Journal Club” discussion of this paper at http:/www.elsevier.com/locate/ajmselect/. </w:t>
      </w:r>
      <w:r w:rsidRPr="00FB63F8">
        <w:rPr>
          <w:rFonts w:ascii="Times New Roman" w:hAnsi="Times New Roman" w:cs="Times New Roman"/>
          <w:i/>
          <w:iCs/>
        </w:rPr>
        <w:t>The American Journal of Medicine</w:t>
      </w:r>
      <w:r w:rsidRPr="00FB63F8">
        <w:rPr>
          <w:rFonts w:ascii="Times New Roman" w:hAnsi="Times New Roman" w:cs="Times New Roman"/>
        </w:rPr>
        <w:t>. 1999;106(5):506-512. doi:10.1016/s0002-9343(99)00066-2.</w:t>
      </w:r>
    </w:p>
    <w:p w14:paraId="6D23A029"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lastRenderedPageBreak/>
        <w:t xml:space="preserve">Hindorff LA, Rice KM, Lange LA, et al. Common variants in the CRP gene in relation to longevity and cause-specific mortality in older adults: The Cardiovascular Health Study. </w:t>
      </w:r>
      <w:r w:rsidRPr="00FB63F8">
        <w:rPr>
          <w:rFonts w:ascii="Times New Roman" w:hAnsi="Times New Roman" w:cs="Times New Roman"/>
          <w:i/>
          <w:iCs/>
        </w:rPr>
        <w:t>Atherosclerosis</w:t>
      </w:r>
      <w:r w:rsidRPr="00FB63F8">
        <w:rPr>
          <w:rFonts w:ascii="Times New Roman" w:hAnsi="Times New Roman" w:cs="Times New Roman"/>
        </w:rPr>
        <w:t>. 2008;197(2):922-930. doi:10.1016/j.atherosclerosis.2007.08.012.</w:t>
      </w:r>
    </w:p>
    <w:p w14:paraId="0AC42FF8" w14:textId="77777777" w:rsidR="00D96F31" w:rsidRPr="00FB63F8"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shd w:val="clear" w:color="auto" w:fill="FFFFFF"/>
        </w:rPr>
        <w:t>Bian A, Shi M, Flores B, Gillings N, Li P, Yan SX, Levine B, Xing C, Hu MC. Downregulation of autophagy is associated with severe ischemia-reperfusion-induced acute kidney injury in overexpressing C-reactive protein mice. PLoS One. 2017 Sep 8;12(9):e0181848. doi: 10.1371/journal.pone.0181848. PMID: 28886014; PMCID: PMC5590740.</w:t>
      </w:r>
    </w:p>
    <w:p w14:paraId="2371064D" w14:textId="77777777" w:rsidR="00D96F31" w:rsidRPr="00324CBA" w:rsidRDefault="00D96F31" w:rsidP="00D96F31">
      <w:pPr>
        <w:pStyle w:val="ListParagraph"/>
        <w:numPr>
          <w:ilvl w:val="0"/>
          <w:numId w:val="1"/>
        </w:numPr>
        <w:spacing w:after="0" w:line="240" w:lineRule="auto"/>
        <w:rPr>
          <w:rFonts w:ascii="Times New Roman" w:eastAsia="Times New Roman" w:hAnsi="Times New Roman" w:cs="Times New Roman"/>
        </w:rPr>
      </w:pPr>
      <w:r w:rsidRPr="00B528D5">
        <w:rPr>
          <w:rFonts w:ascii="Times New Roman" w:hAnsi="Times New Roman" w:cs="Times New Roman"/>
          <w:shd w:val="clear" w:color="auto" w:fill="FFFFFF"/>
        </w:rPr>
        <w:t>Maxfield L, Crane JS. Zinc Deficiency. 2020 Jul 2. In: StatPearls [Internet]. Treasure Island (FL): StatPearls Publishing; 2021 Jan–. PMID: 29630283.</w:t>
      </w:r>
    </w:p>
    <w:p w14:paraId="420B7D35" w14:textId="77777777" w:rsidR="00D96F31" w:rsidRPr="00324CBA" w:rsidRDefault="00D96F31" w:rsidP="00D96F31">
      <w:pPr>
        <w:pStyle w:val="ListParagraph"/>
        <w:numPr>
          <w:ilvl w:val="0"/>
          <w:numId w:val="1"/>
        </w:numPr>
        <w:spacing w:after="0" w:line="240" w:lineRule="auto"/>
        <w:rPr>
          <w:rFonts w:ascii="Times New Roman" w:eastAsia="Times New Roman" w:hAnsi="Times New Roman" w:cs="Times New Roman"/>
        </w:rPr>
      </w:pPr>
      <w:r w:rsidRPr="00FB63F8">
        <w:rPr>
          <w:rFonts w:ascii="Times New Roman" w:hAnsi="Times New Roman" w:cs="Times New Roman"/>
        </w:rPr>
        <w:t xml:space="preserve">Nehring SM, Goyal A, Bansal P, et al. C Reactive Protein (CRP) [Updated 2020 Jun 5]. In: StatPearls [Internet]. Treasure Island (FL): StatPearls Publishing; 2020 Jan-. </w:t>
      </w:r>
      <w:r w:rsidRPr="00FB63F8">
        <w:rPr>
          <w:rStyle w:val="bkciteavail"/>
          <w:rFonts w:ascii="Times New Roman" w:hAnsi="Times New Roman" w:cs="Times New Roman"/>
        </w:rPr>
        <w:t xml:space="preserve">Available from: </w:t>
      </w:r>
      <w:hyperlink r:id="rId18" w:history="1">
        <w:r w:rsidRPr="00FB63F8">
          <w:rPr>
            <w:rStyle w:val="Hyperlink"/>
            <w:rFonts w:ascii="Times New Roman" w:hAnsi="Times New Roman" w:cs="Times New Roman"/>
          </w:rPr>
          <w:t>https://www.ncbi.nlm.nih.gov/books/NBK441843/</w:t>
        </w:r>
      </w:hyperlink>
      <w:bookmarkStart w:id="4" w:name="_Hlk66952706"/>
    </w:p>
    <w:bookmarkEnd w:id="4"/>
    <w:p w14:paraId="4DCF2DCC" w14:textId="77777777" w:rsidR="00D96F31" w:rsidRPr="00FB63F8"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FB63F8">
        <w:rPr>
          <w:rFonts w:ascii="Times New Roman" w:eastAsia="Times New Roman" w:hAnsi="Times New Roman" w:cs="Times New Roman"/>
        </w:rPr>
        <w:t xml:space="preserve">Yao H, Han B, Zhang Y, Shen L, Huang R. Non-coding RNAs and Autophagy. </w:t>
      </w:r>
      <w:r w:rsidRPr="00FB63F8">
        <w:rPr>
          <w:rFonts w:ascii="Times New Roman" w:eastAsia="Times New Roman" w:hAnsi="Times New Roman" w:cs="Times New Roman"/>
          <w:i/>
          <w:iCs/>
        </w:rPr>
        <w:t>Autophagy: Biology and Diseases</w:t>
      </w:r>
      <w:r w:rsidRPr="00FB63F8">
        <w:rPr>
          <w:rFonts w:ascii="Times New Roman" w:eastAsia="Times New Roman" w:hAnsi="Times New Roman" w:cs="Times New Roman"/>
        </w:rPr>
        <w:t xml:space="preserve">. 2019:199-220. doi:10.1007/978-981-15-0602-4_10 </w:t>
      </w:r>
    </w:p>
    <w:p w14:paraId="201CD942"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eastAsia="Times New Roman" w:hAnsi="Times New Roman" w:cs="Times New Roman"/>
        </w:rPr>
        <w:t xml:space="preserve">Lapierre LR, Filho CDDM, Mcquary PR, et al. The TFEB orthologue HLH-30 regulates autophagy and modulates longevity in Caenorhabditis elegans. </w:t>
      </w:r>
      <w:r w:rsidRPr="00FB63F8">
        <w:rPr>
          <w:rFonts w:ascii="Times New Roman" w:eastAsia="Times New Roman" w:hAnsi="Times New Roman" w:cs="Times New Roman"/>
          <w:i/>
          <w:iCs/>
        </w:rPr>
        <w:t>Nature Communications</w:t>
      </w:r>
      <w:r w:rsidRPr="00FB63F8">
        <w:rPr>
          <w:rFonts w:ascii="Times New Roman" w:eastAsia="Times New Roman" w:hAnsi="Times New Roman" w:cs="Times New Roman"/>
        </w:rPr>
        <w:t>. 2013;4(1). doi:10.1038/ncomms3267.</w:t>
      </w:r>
    </w:p>
    <w:p w14:paraId="0DC76CE8" w14:textId="77777777" w:rsidR="00D96F31" w:rsidRPr="00FB63F8" w:rsidRDefault="00D96F31" w:rsidP="00D96F31">
      <w:pPr>
        <w:pStyle w:val="ListParagraph"/>
        <w:numPr>
          <w:ilvl w:val="0"/>
          <w:numId w:val="1"/>
        </w:numPr>
        <w:rPr>
          <w:rFonts w:ascii="Times New Roman" w:hAnsi="Times New Roman" w:cs="Times New Roman"/>
        </w:rPr>
      </w:pPr>
      <w:r w:rsidRPr="00FB63F8">
        <w:rPr>
          <w:rFonts w:ascii="Times New Roman" w:hAnsi="Times New Roman" w:cs="Times New Roman"/>
          <w:shd w:val="clear" w:color="auto" w:fill="FFFFFF"/>
        </w:rPr>
        <w:t>Slagboom PE, Beekman M, Passtoors WM, et al. Genomics of human longevity. </w:t>
      </w:r>
      <w:r w:rsidRPr="00FB63F8">
        <w:rPr>
          <w:rFonts w:ascii="Times New Roman" w:hAnsi="Times New Roman" w:cs="Times New Roman"/>
          <w:i/>
          <w:iCs/>
          <w:shd w:val="clear" w:color="auto" w:fill="FFFFFF"/>
        </w:rPr>
        <w:t>Philos Trans R Soc Lond B Biol Sci</w:t>
      </w:r>
      <w:r w:rsidRPr="00FB63F8">
        <w:rPr>
          <w:rFonts w:ascii="Times New Roman" w:hAnsi="Times New Roman" w:cs="Times New Roman"/>
          <w:shd w:val="clear" w:color="auto" w:fill="FFFFFF"/>
        </w:rPr>
        <w:t>. 2011;366(1561):35-42. doi:10.1098/rstb.2010.0284</w:t>
      </w:r>
    </w:p>
    <w:p w14:paraId="36A9AF0A" w14:textId="77777777" w:rsidR="00D96F31" w:rsidRPr="003577EA"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FB63F8">
        <w:rPr>
          <w:rFonts w:ascii="Times New Roman" w:hAnsi="Times New Roman" w:cs="Times New Roman"/>
          <w:shd w:val="clear" w:color="auto" w:fill="FFFFFF"/>
        </w:rPr>
        <w:t>Palmisano NJ, Meléndez A. Autophagy in C. elegans development. </w:t>
      </w:r>
      <w:r w:rsidRPr="00FB63F8">
        <w:rPr>
          <w:rFonts w:ascii="Times New Roman" w:hAnsi="Times New Roman" w:cs="Times New Roman"/>
          <w:i/>
          <w:iCs/>
          <w:shd w:val="clear" w:color="auto" w:fill="FFFFFF"/>
        </w:rPr>
        <w:t>Dev Biol</w:t>
      </w:r>
      <w:r w:rsidRPr="00FB63F8">
        <w:rPr>
          <w:rFonts w:ascii="Times New Roman" w:hAnsi="Times New Roman" w:cs="Times New Roman"/>
          <w:shd w:val="clear" w:color="auto" w:fill="FFFFFF"/>
        </w:rPr>
        <w:t>. 2019;447(1):103-125. doi:10.1016/j.ydbio.2018.04.009</w:t>
      </w:r>
    </w:p>
    <w:p w14:paraId="26ACD34C" w14:textId="77777777" w:rsidR="00D96F31" w:rsidRPr="009E5AF0" w:rsidRDefault="00D96F31" w:rsidP="00D96F31">
      <w:pPr>
        <w:pStyle w:val="ListParagraph"/>
        <w:numPr>
          <w:ilvl w:val="0"/>
          <w:numId w:val="1"/>
        </w:numPr>
        <w:spacing w:after="0" w:line="240" w:lineRule="auto"/>
        <w:rPr>
          <w:rFonts w:ascii="Times New Roman" w:eastAsia="Times New Roman" w:hAnsi="Times New Roman" w:cs="Times New Roman"/>
        </w:rPr>
      </w:pPr>
      <w:bookmarkStart w:id="5" w:name="_Hlk66952756"/>
      <w:r w:rsidRPr="00FB63F8">
        <w:rPr>
          <w:rFonts w:ascii="Times New Roman" w:hAnsi="Times New Roman" w:cs="Times New Roman"/>
          <w:shd w:val="clear" w:color="auto" w:fill="FFFFFF"/>
        </w:rPr>
        <w:t xml:space="preserve">Rentschler G, Kippler M, Axmon A, Raqib R, Skerfving S, Vahter M, Broberg K. Cadmium concentrations in human blood and urine are associated with polymorphisms in zinc transporter genes. </w:t>
      </w:r>
      <w:r w:rsidRPr="009E5AF0">
        <w:rPr>
          <w:rFonts w:ascii="Times New Roman" w:hAnsi="Times New Roman" w:cs="Times New Roman"/>
          <w:shd w:val="clear" w:color="auto" w:fill="FFFFFF"/>
        </w:rPr>
        <w:t>Metallomics. 2014 Apr;6(4):885-91. doi: 10.1039/c3mt00365e. PMID: 24514587.</w:t>
      </w:r>
    </w:p>
    <w:bookmarkEnd w:id="5"/>
    <w:p w14:paraId="4F32DB15" w14:textId="77777777" w:rsidR="00D96F31" w:rsidRPr="009E5AF0" w:rsidRDefault="00D96F31" w:rsidP="00D96F31">
      <w:pPr>
        <w:pStyle w:val="ListParagraph"/>
        <w:numPr>
          <w:ilvl w:val="0"/>
          <w:numId w:val="1"/>
        </w:numPr>
        <w:spacing w:after="0" w:line="240" w:lineRule="auto"/>
        <w:rPr>
          <w:rFonts w:ascii="Times New Roman" w:eastAsia="Times New Roman" w:hAnsi="Times New Roman" w:cs="Times New Roman"/>
        </w:rPr>
      </w:pPr>
      <w:r w:rsidRPr="009E5AF0">
        <w:rPr>
          <w:rFonts w:ascii="Times New Roman" w:hAnsi="Times New Roman" w:cs="Times New Roman"/>
          <w:shd w:val="clear" w:color="auto" w:fill="FFFFFF"/>
        </w:rPr>
        <w:t>Miller RA. Extending life: scientific prospects and political obstacles. </w:t>
      </w:r>
      <w:r w:rsidRPr="009E5AF0">
        <w:rPr>
          <w:rFonts w:ascii="Times New Roman" w:hAnsi="Times New Roman" w:cs="Times New Roman"/>
          <w:i/>
          <w:iCs/>
          <w:shd w:val="clear" w:color="auto" w:fill="FFFFFF"/>
        </w:rPr>
        <w:t>Milbank Q</w:t>
      </w:r>
      <w:r w:rsidRPr="009E5AF0">
        <w:rPr>
          <w:rFonts w:ascii="Times New Roman" w:hAnsi="Times New Roman" w:cs="Times New Roman"/>
          <w:shd w:val="clear" w:color="auto" w:fill="FFFFFF"/>
        </w:rPr>
        <w:t>. 2002;80(1):155-174. doi:10.1111/1468-0009.00006.</w:t>
      </w:r>
    </w:p>
    <w:p w14:paraId="6D0B919D" w14:textId="36F1DE51" w:rsidR="00D96F31" w:rsidRPr="00387336" w:rsidRDefault="00D96F31" w:rsidP="00D96F31">
      <w:pPr>
        <w:pStyle w:val="ListParagraph"/>
        <w:numPr>
          <w:ilvl w:val="0"/>
          <w:numId w:val="1"/>
        </w:numPr>
        <w:spacing w:line="240" w:lineRule="auto"/>
        <w:rPr>
          <w:rFonts w:ascii="Times New Roman" w:hAnsi="Times New Roman" w:cs="Times New Roman"/>
        </w:rPr>
      </w:pPr>
      <w:r w:rsidRPr="009E5AF0">
        <w:rPr>
          <w:rFonts w:ascii="Times New Roman" w:hAnsi="Times New Roman" w:cs="Times New Roman"/>
        </w:rPr>
        <w:t xml:space="preserve">National Center for Health Statistics. Centers for Disease Control and Prevention. https://www.cdc.gov/nchs/nhanes/about_nhanes.htm. Published September 15, 2017. Accessed </w:t>
      </w:r>
      <w:r w:rsidRPr="00387336">
        <w:rPr>
          <w:rFonts w:ascii="Times New Roman" w:hAnsi="Times New Roman" w:cs="Times New Roman"/>
        </w:rPr>
        <w:t>January 2, 2020.</w:t>
      </w:r>
    </w:p>
    <w:p w14:paraId="299DCACA" w14:textId="77777777" w:rsidR="00387336" w:rsidRPr="00387336" w:rsidRDefault="00387336" w:rsidP="00387336">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387336">
        <w:rPr>
          <w:rFonts w:ascii="Times New Roman" w:eastAsia="Times New Roman" w:hAnsi="Times New Roman" w:cs="Times New Roman"/>
        </w:rPr>
        <w:t xml:space="preserve">Azur MJ, Stuart EA, Frangakis C, Leaf PJ. Multiple imputation by chained equations: what is it and how does it work? </w:t>
      </w:r>
      <w:r w:rsidRPr="00387336">
        <w:rPr>
          <w:rFonts w:ascii="Times New Roman" w:eastAsia="Times New Roman" w:hAnsi="Times New Roman" w:cs="Times New Roman"/>
          <w:i/>
          <w:iCs/>
        </w:rPr>
        <w:t>International Journal of Methods in Psychiatric Research</w:t>
      </w:r>
      <w:r w:rsidRPr="00387336">
        <w:rPr>
          <w:rFonts w:ascii="Times New Roman" w:eastAsia="Times New Roman" w:hAnsi="Times New Roman" w:cs="Times New Roman"/>
        </w:rPr>
        <w:t xml:space="preserve">. 2011;20(1):40-49. doi:10.1002/mpr.329 </w:t>
      </w:r>
    </w:p>
    <w:p w14:paraId="372B6080" w14:textId="16F5695C" w:rsidR="00D96F31" w:rsidRPr="006438ED" w:rsidRDefault="00D96F31" w:rsidP="00387336">
      <w:pPr>
        <w:pStyle w:val="ListParagraph"/>
        <w:numPr>
          <w:ilvl w:val="0"/>
          <w:numId w:val="1"/>
        </w:numPr>
        <w:spacing w:before="100" w:beforeAutospacing="1" w:after="100" w:afterAutospacing="1" w:line="240" w:lineRule="auto"/>
        <w:rPr>
          <w:rStyle w:val="selectable"/>
          <w:rFonts w:ascii="Times New Roman" w:eastAsia="Times New Roman" w:hAnsi="Times New Roman" w:cs="Times New Roman"/>
        </w:rPr>
      </w:pPr>
      <w:r w:rsidRPr="00387336">
        <w:rPr>
          <w:rStyle w:val="selectable"/>
          <w:rFonts w:ascii="Times New Roman" w:hAnsi="Times New Roman" w:cs="Times New Roman"/>
        </w:rPr>
        <w:t>National Center for Biotechnology of the National Institute of Health., 2020. About GEO Profiles - GEO - NCBI. [online] Ncbi.nlm.nih.gov. Available at: &lt;https://www.ncbi.nlm.nih.gov/geo/info/profiles.html&gt; [Accessed 13 March 2021].</w:t>
      </w:r>
    </w:p>
    <w:p w14:paraId="4243B25A" w14:textId="77777777" w:rsidR="006438ED" w:rsidRPr="00B91C17" w:rsidRDefault="006438ED" w:rsidP="006438ED">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B91C17">
        <w:rPr>
          <w:rFonts w:ascii="Times New Roman" w:eastAsia="Times New Roman" w:hAnsi="Times New Roman" w:cs="Times New Roman"/>
        </w:rPr>
        <w:t xml:space="preserve">Zhang X, Jonassen I. RASflow: an RNA-Seq analysis workflow with Snakemake. </w:t>
      </w:r>
      <w:r w:rsidRPr="00B91C17">
        <w:rPr>
          <w:rFonts w:ascii="Times New Roman" w:eastAsia="Times New Roman" w:hAnsi="Times New Roman" w:cs="Times New Roman"/>
          <w:i/>
          <w:iCs/>
        </w:rPr>
        <w:t>BMC Bioinformatics</w:t>
      </w:r>
      <w:r w:rsidRPr="00B91C17">
        <w:rPr>
          <w:rFonts w:ascii="Times New Roman" w:eastAsia="Times New Roman" w:hAnsi="Times New Roman" w:cs="Times New Roman"/>
        </w:rPr>
        <w:t xml:space="preserve">. 2020;21(1). doi:10.1186/s12859-020-3433-x </w:t>
      </w:r>
    </w:p>
    <w:p w14:paraId="6AE99529" w14:textId="174EC95C" w:rsidR="00B91C17" w:rsidRDefault="00B91C17" w:rsidP="00B91C17">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B91C17">
        <w:rPr>
          <w:rFonts w:ascii="Times New Roman" w:eastAsia="Times New Roman" w:hAnsi="Times New Roman" w:cs="Times New Roman"/>
        </w:rPr>
        <w:t xml:space="preserve">Yoo C. Statistical Machine Learning Group (SMLG) . http://smlg.fiu.edu/. Accessed May 21, 2021. </w:t>
      </w:r>
    </w:p>
    <w:p w14:paraId="72DAC70D" w14:textId="77777777" w:rsidR="00F82E4D" w:rsidRPr="00F82E4D" w:rsidRDefault="00F82E4D" w:rsidP="00F82E4D">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F82E4D">
        <w:rPr>
          <w:rFonts w:ascii="Times New Roman" w:eastAsia="Times New Roman" w:hAnsi="Times New Roman" w:cs="Times New Roman"/>
        </w:rPr>
        <w:t xml:space="preserve">Brinkmeyer-Langford C, Chu C, Balog-Alvarez C, et al. Expression profiling of disease progression in canine model of Duchenne muscular dystrophy. </w:t>
      </w:r>
      <w:r w:rsidRPr="00F82E4D">
        <w:rPr>
          <w:rFonts w:ascii="Times New Roman" w:eastAsia="Times New Roman" w:hAnsi="Times New Roman" w:cs="Times New Roman"/>
          <w:i/>
          <w:iCs/>
        </w:rPr>
        <w:t>PLOS ONE</w:t>
      </w:r>
      <w:r w:rsidRPr="00F82E4D">
        <w:rPr>
          <w:rFonts w:ascii="Times New Roman" w:eastAsia="Times New Roman" w:hAnsi="Times New Roman" w:cs="Times New Roman"/>
        </w:rPr>
        <w:t xml:space="preserve">. 2018;13(3). doi:10.1371/journal.pone.0194485 </w:t>
      </w:r>
    </w:p>
    <w:p w14:paraId="57A67164" w14:textId="77777777" w:rsidR="00D96F31" w:rsidRPr="00964BB4"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t xml:space="preserve">Li Y. TargetScore: Infer microRNA targets using microRNA-overexpression data and sequence information . Bioconductor.org. https://www.bioconductor.org/packages/release/bioc/vignettes/TargetScore/inst/doc/TargetScore.pdf. Published October 27, 2020. </w:t>
      </w:r>
      <w:r w:rsidRPr="00964BB4">
        <w:t xml:space="preserve"> </w:t>
      </w:r>
    </w:p>
    <w:p w14:paraId="2758E93D" w14:textId="77777777" w:rsidR="00D96F31" w:rsidRPr="00964BB4"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t xml:space="preserve">Garcia-Moreno A, Carmona-Saez P. Computational Methods and Software Tools for Functional Analysis of miRNA Data. </w:t>
      </w:r>
      <w:r w:rsidRPr="00964BB4">
        <w:rPr>
          <w:rFonts w:ascii="Times New Roman" w:eastAsia="Times New Roman" w:hAnsi="Times New Roman" w:cs="Times New Roman"/>
          <w:i/>
          <w:iCs/>
        </w:rPr>
        <w:t>Biomolecules</w:t>
      </w:r>
      <w:r w:rsidRPr="00964BB4">
        <w:rPr>
          <w:rFonts w:ascii="Times New Roman" w:eastAsia="Times New Roman" w:hAnsi="Times New Roman" w:cs="Times New Roman"/>
        </w:rPr>
        <w:t xml:space="preserve">. 2020;10(9):1252. doi:10.3390/biom10091252 </w:t>
      </w:r>
    </w:p>
    <w:p w14:paraId="18F88FD2" w14:textId="77777777" w:rsidR="00D96F31" w:rsidRPr="00964BB4" w:rsidRDefault="00D96F31" w:rsidP="00D96F31">
      <w:pPr>
        <w:pStyle w:val="ListParagraph"/>
        <w:numPr>
          <w:ilvl w:val="0"/>
          <w:numId w:val="1"/>
        </w:numPr>
        <w:shd w:val="clear" w:color="auto" w:fill="FFFFFF"/>
        <w:spacing w:line="256" w:lineRule="auto"/>
        <w:rPr>
          <w:rFonts w:ascii="Times New Roman" w:hAnsi="Times New Roman" w:cs="Times New Roman"/>
          <w:color w:val="000000"/>
        </w:rPr>
      </w:pPr>
      <w:r w:rsidRPr="00964BB4">
        <w:rPr>
          <w:rFonts w:ascii="Times New Roman" w:hAnsi="Times New Roman" w:cs="Times New Roman"/>
          <w:color w:val="000000"/>
        </w:rPr>
        <w:lastRenderedPageBreak/>
        <w:t xml:space="preserve">Chang W-S, Wang Y-H, Zhu X-T, Wu C-J. Genome-Wide Profiling of miRNA and mRNA Expression in Alzheimer’s Disease. </w:t>
      </w:r>
      <w:r w:rsidRPr="00964BB4">
        <w:rPr>
          <w:rFonts w:ascii="Times New Roman" w:hAnsi="Times New Roman" w:cs="Times New Roman"/>
          <w:i/>
          <w:iCs/>
          <w:color w:val="000000"/>
        </w:rPr>
        <w:t>Medical Science Monitor</w:t>
      </w:r>
      <w:r w:rsidRPr="00964BB4">
        <w:rPr>
          <w:rFonts w:ascii="Times New Roman" w:hAnsi="Times New Roman" w:cs="Times New Roman"/>
          <w:color w:val="000000"/>
        </w:rPr>
        <w:t>. 2017;23:2721-2731. doi:10.12659/msm.905064</w:t>
      </w:r>
    </w:p>
    <w:p w14:paraId="12B229C8" w14:textId="77777777" w:rsidR="00D96F31"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t xml:space="preserve">Deeter A, Dalman M, Haddad J, Duan Z-H. Inferring gene and protein interactions using PubMed citations and consensus Bayesian networks. </w:t>
      </w:r>
      <w:r w:rsidRPr="00964BB4">
        <w:rPr>
          <w:rFonts w:ascii="Times New Roman" w:eastAsia="Times New Roman" w:hAnsi="Times New Roman" w:cs="Times New Roman"/>
          <w:i/>
          <w:iCs/>
        </w:rPr>
        <w:t>PLOS ONE</w:t>
      </w:r>
      <w:r w:rsidRPr="00964BB4">
        <w:rPr>
          <w:rFonts w:ascii="Times New Roman" w:eastAsia="Times New Roman" w:hAnsi="Times New Roman" w:cs="Times New Roman"/>
        </w:rPr>
        <w:t xml:space="preserve">. 2017;12(10). doi:10.1371/journal.pone.0186004 </w:t>
      </w:r>
    </w:p>
    <w:p w14:paraId="57F9A3DD" w14:textId="77777777" w:rsidR="00D96F31" w:rsidRDefault="00D96F31" w:rsidP="00D96F31">
      <w:pPr>
        <w:pStyle w:val="ListParagraph"/>
        <w:numPr>
          <w:ilvl w:val="0"/>
          <w:numId w:val="1"/>
        </w:numPr>
        <w:spacing w:before="100" w:beforeAutospacing="1" w:after="100" w:afterAutospacing="1" w:line="240" w:lineRule="auto"/>
        <w:rPr>
          <w:rFonts w:ascii="Times New Roman" w:eastAsia="Times New Roman" w:hAnsi="Times New Roman" w:cs="Times New Roman"/>
        </w:rPr>
      </w:pPr>
      <w:r w:rsidRPr="00964BB4">
        <w:rPr>
          <w:rFonts w:ascii="Times New Roman" w:eastAsia="Times New Roman" w:hAnsi="Times New Roman" w:cs="Times New Roman"/>
        </w:rPr>
        <w:t xml:space="preserve">Kourou K, Rigas G, Papaloukas C, Mitsis M, Fotiadis DI. Cancer classification from time series microarray data through regulatory Dynamic Bayesian Networks. </w:t>
      </w:r>
      <w:r w:rsidRPr="00964BB4">
        <w:rPr>
          <w:rFonts w:ascii="Times New Roman" w:eastAsia="Times New Roman" w:hAnsi="Times New Roman" w:cs="Times New Roman"/>
          <w:i/>
          <w:iCs/>
        </w:rPr>
        <w:t>Computers in Biology and Medicine</w:t>
      </w:r>
      <w:r w:rsidRPr="00964BB4">
        <w:rPr>
          <w:rFonts w:ascii="Times New Roman" w:eastAsia="Times New Roman" w:hAnsi="Times New Roman" w:cs="Times New Roman"/>
        </w:rPr>
        <w:t xml:space="preserve">. 2020;116:103577. doi:10.1016/j.compbiomed.2019.103577 </w:t>
      </w:r>
    </w:p>
    <w:p w14:paraId="1F1036B2" w14:textId="77777777" w:rsidR="00D96F31" w:rsidRPr="00031A83" w:rsidRDefault="00D96F31" w:rsidP="00D96F31">
      <w:pPr>
        <w:spacing w:after="0" w:line="240" w:lineRule="auto"/>
        <w:rPr>
          <w:rFonts w:ascii="Times New Roman" w:eastAsia="Times New Roman" w:hAnsi="Times New Roman" w:cs="Times New Roman"/>
        </w:rPr>
      </w:pPr>
    </w:p>
    <w:p w14:paraId="4C0F033C" w14:textId="77777777" w:rsidR="00D96F31" w:rsidRDefault="00D96F31" w:rsidP="00D96F31"/>
    <w:p w14:paraId="1357D0B0" w14:textId="77777777" w:rsidR="006644DE" w:rsidRDefault="006644DE"/>
    <w:sectPr w:rsidR="006644DE" w:rsidSect="00A27823">
      <w:footerReference w:type="default" r:id="rId19"/>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Changwon Yoo" w:date="2021-05-27T14:52:00Z" w:initials="CY">
    <w:p w14:paraId="7EB186F6" w14:textId="60B0EB9B" w:rsidR="00356CAC" w:rsidRDefault="00356CAC">
      <w:pPr>
        <w:pStyle w:val="CommentText"/>
      </w:pPr>
      <w:r>
        <w:rPr>
          <w:rStyle w:val="CommentReference"/>
        </w:rPr>
        <w:annotationRef/>
      </w:r>
      <w:r>
        <w:t>You need to revise this statement to match how datasets were included. You should also list all the included datasets here</w:t>
      </w:r>
    </w:p>
  </w:comment>
  <w:comment w:id="3" w:author="Changwon Yoo" w:date="2021-05-27T14:47:00Z" w:initials="CY">
    <w:p w14:paraId="14CD2D90" w14:textId="2D1AF83A" w:rsidR="00356CAC" w:rsidRDefault="00356CAC">
      <w:pPr>
        <w:pStyle w:val="CommentText"/>
      </w:pPr>
      <w:r>
        <w:rPr>
          <w:rStyle w:val="CommentReference"/>
        </w:rPr>
        <w:annotationRef/>
      </w:r>
      <w:r>
        <w:t>You want to evaluate the identified mechanistic pathways via literature search or additional datasets that are available.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B186F6" w15:done="0"/>
  <w15:commentEx w15:paraId="14CD2D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A30C6" w16cex:dateUtc="2021-05-27T18:52:00Z"/>
  <w16cex:commentExtensible w16cex:durableId="245A2F69" w16cex:dateUtc="2021-05-27T1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B186F6" w16cid:durableId="245A30C6"/>
  <w16cid:commentId w16cid:paraId="14CD2D90" w16cid:durableId="245A2F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9E00C" w14:textId="77777777" w:rsidR="005B26F7" w:rsidRDefault="005B26F7" w:rsidP="0036159B">
      <w:pPr>
        <w:spacing w:after="0" w:line="240" w:lineRule="auto"/>
      </w:pPr>
      <w:r>
        <w:separator/>
      </w:r>
    </w:p>
  </w:endnote>
  <w:endnote w:type="continuationSeparator" w:id="0">
    <w:p w14:paraId="12A4F801" w14:textId="77777777" w:rsidR="005B26F7" w:rsidRDefault="005B26F7" w:rsidP="00361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766556"/>
      <w:docPartObj>
        <w:docPartGallery w:val="Page Numbers (Bottom of Page)"/>
        <w:docPartUnique/>
      </w:docPartObj>
    </w:sdtPr>
    <w:sdtEndPr>
      <w:rPr>
        <w:noProof/>
      </w:rPr>
    </w:sdtEndPr>
    <w:sdtContent>
      <w:p w14:paraId="53C7DBDC" w14:textId="77777777" w:rsidR="00A27823" w:rsidRDefault="00B747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A7478" w14:textId="77777777" w:rsidR="00A27823" w:rsidRDefault="005B2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1B7B0" w14:textId="77777777" w:rsidR="005B26F7" w:rsidRDefault="005B26F7" w:rsidP="0036159B">
      <w:pPr>
        <w:spacing w:after="0" w:line="240" w:lineRule="auto"/>
      </w:pPr>
      <w:r>
        <w:separator/>
      </w:r>
    </w:p>
  </w:footnote>
  <w:footnote w:type="continuationSeparator" w:id="0">
    <w:p w14:paraId="6BAA03C4" w14:textId="77777777" w:rsidR="005B26F7" w:rsidRDefault="005B26F7" w:rsidP="00361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06009"/>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angwon Yoo">
    <w15:presenceInfo w15:providerId="None" w15:userId="Changwon Yo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F31"/>
    <w:rsid w:val="000369AA"/>
    <w:rsid w:val="000409FF"/>
    <w:rsid w:val="000424C3"/>
    <w:rsid w:val="000518CA"/>
    <w:rsid w:val="00056FD3"/>
    <w:rsid w:val="00073B5F"/>
    <w:rsid w:val="00090B30"/>
    <w:rsid w:val="000A2D10"/>
    <w:rsid w:val="000B2411"/>
    <w:rsid w:val="000D7D23"/>
    <w:rsid w:val="00150EB1"/>
    <w:rsid w:val="00154E0F"/>
    <w:rsid w:val="00164B4B"/>
    <w:rsid w:val="00167195"/>
    <w:rsid w:val="0018399C"/>
    <w:rsid w:val="001A6D8B"/>
    <w:rsid w:val="001D0D57"/>
    <w:rsid w:val="001E0178"/>
    <w:rsid w:val="001F0D63"/>
    <w:rsid w:val="002433CC"/>
    <w:rsid w:val="002544C9"/>
    <w:rsid w:val="00271661"/>
    <w:rsid w:val="00285776"/>
    <w:rsid w:val="002B1059"/>
    <w:rsid w:val="002F1675"/>
    <w:rsid w:val="003028DB"/>
    <w:rsid w:val="00306745"/>
    <w:rsid w:val="00320854"/>
    <w:rsid w:val="00324CC9"/>
    <w:rsid w:val="003262C7"/>
    <w:rsid w:val="00343F22"/>
    <w:rsid w:val="00356CAC"/>
    <w:rsid w:val="0036159B"/>
    <w:rsid w:val="003632DC"/>
    <w:rsid w:val="00374965"/>
    <w:rsid w:val="00387336"/>
    <w:rsid w:val="003A76E2"/>
    <w:rsid w:val="003B44A4"/>
    <w:rsid w:val="003C3C69"/>
    <w:rsid w:val="00403A55"/>
    <w:rsid w:val="00430806"/>
    <w:rsid w:val="00447BD9"/>
    <w:rsid w:val="0045635A"/>
    <w:rsid w:val="00491C52"/>
    <w:rsid w:val="00496D7C"/>
    <w:rsid w:val="004A0DE3"/>
    <w:rsid w:val="004C486C"/>
    <w:rsid w:val="004E24BF"/>
    <w:rsid w:val="004E359E"/>
    <w:rsid w:val="00503DD6"/>
    <w:rsid w:val="00523B47"/>
    <w:rsid w:val="00550DBB"/>
    <w:rsid w:val="00572DFD"/>
    <w:rsid w:val="005A2D65"/>
    <w:rsid w:val="005A41F5"/>
    <w:rsid w:val="005A6336"/>
    <w:rsid w:val="005B26F7"/>
    <w:rsid w:val="005E1F96"/>
    <w:rsid w:val="006227C0"/>
    <w:rsid w:val="006438ED"/>
    <w:rsid w:val="0065031D"/>
    <w:rsid w:val="006644DE"/>
    <w:rsid w:val="006674AE"/>
    <w:rsid w:val="00690283"/>
    <w:rsid w:val="00696AFF"/>
    <w:rsid w:val="006A1866"/>
    <w:rsid w:val="006B21EF"/>
    <w:rsid w:val="006D56AD"/>
    <w:rsid w:val="006F08A5"/>
    <w:rsid w:val="00711ADE"/>
    <w:rsid w:val="007338A7"/>
    <w:rsid w:val="00756DB8"/>
    <w:rsid w:val="007577A9"/>
    <w:rsid w:val="00786215"/>
    <w:rsid w:val="007A53D3"/>
    <w:rsid w:val="007D2C7E"/>
    <w:rsid w:val="007E0B70"/>
    <w:rsid w:val="008020F2"/>
    <w:rsid w:val="00827570"/>
    <w:rsid w:val="00835C92"/>
    <w:rsid w:val="00852009"/>
    <w:rsid w:val="00857CFC"/>
    <w:rsid w:val="008658A7"/>
    <w:rsid w:val="008735D5"/>
    <w:rsid w:val="008A2F85"/>
    <w:rsid w:val="00974131"/>
    <w:rsid w:val="0099173E"/>
    <w:rsid w:val="009923AA"/>
    <w:rsid w:val="009E5315"/>
    <w:rsid w:val="00A0334D"/>
    <w:rsid w:val="00A85A76"/>
    <w:rsid w:val="00AA2178"/>
    <w:rsid w:val="00AA763C"/>
    <w:rsid w:val="00AB6AAE"/>
    <w:rsid w:val="00B45E06"/>
    <w:rsid w:val="00B546D6"/>
    <w:rsid w:val="00B547A1"/>
    <w:rsid w:val="00B747D1"/>
    <w:rsid w:val="00B80167"/>
    <w:rsid w:val="00B91C17"/>
    <w:rsid w:val="00B93DFC"/>
    <w:rsid w:val="00BA4B0E"/>
    <w:rsid w:val="00BA708A"/>
    <w:rsid w:val="00BD2164"/>
    <w:rsid w:val="00C04B4F"/>
    <w:rsid w:val="00C05CEC"/>
    <w:rsid w:val="00C06673"/>
    <w:rsid w:val="00C35157"/>
    <w:rsid w:val="00C8028C"/>
    <w:rsid w:val="00C97B23"/>
    <w:rsid w:val="00CD51CC"/>
    <w:rsid w:val="00D42E6B"/>
    <w:rsid w:val="00D45074"/>
    <w:rsid w:val="00D505E3"/>
    <w:rsid w:val="00D85661"/>
    <w:rsid w:val="00D96F31"/>
    <w:rsid w:val="00DB61FC"/>
    <w:rsid w:val="00E0622B"/>
    <w:rsid w:val="00E1120C"/>
    <w:rsid w:val="00E3265B"/>
    <w:rsid w:val="00E40912"/>
    <w:rsid w:val="00E50856"/>
    <w:rsid w:val="00E7104B"/>
    <w:rsid w:val="00E7420A"/>
    <w:rsid w:val="00E7564D"/>
    <w:rsid w:val="00E82B6C"/>
    <w:rsid w:val="00E858FE"/>
    <w:rsid w:val="00E93EDF"/>
    <w:rsid w:val="00EB05DE"/>
    <w:rsid w:val="00EC2098"/>
    <w:rsid w:val="00EC22BB"/>
    <w:rsid w:val="00EC356F"/>
    <w:rsid w:val="00EE41AA"/>
    <w:rsid w:val="00F33073"/>
    <w:rsid w:val="00F50657"/>
    <w:rsid w:val="00F77851"/>
    <w:rsid w:val="00F82E4D"/>
    <w:rsid w:val="00FC56C8"/>
    <w:rsid w:val="00FD6371"/>
    <w:rsid w:val="00FE10D4"/>
    <w:rsid w:val="00FF6D4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29E8F"/>
  <w15:chartTrackingRefBased/>
  <w15:docId w15:val="{F94A8400-26C9-4128-A77A-B12B098D6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F31"/>
  </w:style>
  <w:style w:type="paragraph" w:styleId="Heading1">
    <w:name w:val="heading 1"/>
    <w:basedOn w:val="Normal"/>
    <w:link w:val="Heading1Char"/>
    <w:uiPriority w:val="1"/>
    <w:qFormat/>
    <w:rsid w:val="005A6336"/>
    <w:pPr>
      <w:widowControl w:val="0"/>
      <w:autoSpaceDE w:val="0"/>
      <w:autoSpaceDN w:val="0"/>
      <w:spacing w:before="95" w:after="0" w:line="240" w:lineRule="auto"/>
      <w:ind w:left="112" w:hanging="2124"/>
      <w:outlineLvl w:val="0"/>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6F31"/>
    <w:pPr>
      <w:spacing w:after="0" w:line="240" w:lineRule="auto"/>
    </w:pPr>
    <w:rPr>
      <w:rFonts w:eastAsiaTheme="minorEastAsia"/>
    </w:rPr>
  </w:style>
  <w:style w:type="character" w:customStyle="1" w:styleId="NoSpacingChar">
    <w:name w:val="No Spacing Char"/>
    <w:basedOn w:val="DefaultParagraphFont"/>
    <w:link w:val="NoSpacing"/>
    <w:uiPriority w:val="1"/>
    <w:rsid w:val="00D96F31"/>
    <w:rPr>
      <w:rFonts w:eastAsiaTheme="minorEastAsia"/>
    </w:rPr>
  </w:style>
  <w:style w:type="paragraph" w:styleId="Footer">
    <w:name w:val="footer"/>
    <w:basedOn w:val="Normal"/>
    <w:link w:val="FooterChar"/>
    <w:uiPriority w:val="99"/>
    <w:unhideWhenUsed/>
    <w:rsid w:val="00D96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F31"/>
  </w:style>
  <w:style w:type="paragraph" w:styleId="ListParagraph">
    <w:name w:val="List Paragraph"/>
    <w:basedOn w:val="Normal"/>
    <w:uiPriority w:val="34"/>
    <w:qFormat/>
    <w:rsid w:val="00D96F31"/>
    <w:pPr>
      <w:ind w:left="720"/>
      <w:contextualSpacing/>
    </w:pPr>
  </w:style>
  <w:style w:type="character" w:styleId="Emphasis">
    <w:name w:val="Emphasis"/>
    <w:basedOn w:val="DefaultParagraphFont"/>
    <w:uiPriority w:val="20"/>
    <w:qFormat/>
    <w:rsid w:val="00D96F31"/>
    <w:rPr>
      <w:i/>
      <w:iCs/>
    </w:rPr>
  </w:style>
  <w:style w:type="table" w:styleId="TableGrid">
    <w:name w:val="Table Grid"/>
    <w:basedOn w:val="TableNormal"/>
    <w:uiPriority w:val="39"/>
    <w:rsid w:val="00D96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96F31"/>
    <w:rPr>
      <w:color w:val="0563C1"/>
      <w:u w:val="single"/>
    </w:rPr>
  </w:style>
  <w:style w:type="paragraph" w:styleId="NormalWeb">
    <w:name w:val="Normal (Web)"/>
    <w:basedOn w:val="Normal"/>
    <w:uiPriority w:val="99"/>
    <w:unhideWhenUsed/>
    <w:rsid w:val="00D96F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kciteavail">
    <w:name w:val="bk_cite_avail"/>
    <w:basedOn w:val="DefaultParagraphFont"/>
    <w:rsid w:val="00D96F31"/>
  </w:style>
  <w:style w:type="character" w:customStyle="1" w:styleId="selectable">
    <w:name w:val="selectable"/>
    <w:basedOn w:val="DefaultParagraphFont"/>
    <w:rsid w:val="00D96F31"/>
  </w:style>
  <w:style w:type="character" w:customStyle="1" w:styleId="authors">
    <w:name w:val="authors"/>
    <w:basedOn w:val="DefaultParagraphFont"/>
    <w:rsid w:val="00D96F31"/>
  </w:style>
  <w:style w:type="character" w:customStyle="1" w:styleId="Title1">
    <w:name w:val="Title1"/>
    <w:basedOn w:val="DefaultParagraphFont"/>
    <w:rsid w:val="00D96F31"/>
  </w:style>
  <w:style w:type="character" w:customStyle="1" w:styleId="source">
    <w:name w:val="source"/>
    <w:basedOn w:val="DefaultParagraphFont"/>
    <w:rsid w:val="00D96F31"/>
  </w:style>
  <w:style w:type="paragraph" w:styleId="Header">
    <w:name w:val="header"/>
    <w:basedOn w:val="Normal"/>
    <w:link w:val="HeaderChar"/>
    <w:uiPriority w:val="99"/>
    <w:unhideWhenUsed/>
    <w:rsid w:val="003615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59B"/>
  </w:style>
  <w:style w:type="paragraph" w:styleId="BodyText">
    <w:name w:val="Body Text"/>
    <w:basedOn w:val="Normal"/>
    <w:link w:val="BodyTextChar"/>
    <w:uiPriority w:val="1"/>
    <w:qFormat/>
    <w:rsid w:val="0065031D"/>
    <w:pPr>
      <w:widowControl w:val="0"/>
      <w:autoSpaceDE w:val="0"/>
      <w:autoSpaceDN w:val="0"/>
      <w:spacing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65031D"/>
    <w:rPr>
      <w:rFonts w:ascii="Times New Roman" w:eastAsia="Times New Roman" w:hAnsi="Times New Roman" w:cs="Times New Roman"/>
      <w:sz w:val="21"/>
      <w:szCs w:val="21"/>
    </w:rPr>
  </w:style>
  <w:style w:type="character" w:styleId="UnresolvedMention">
    <w:name w:val="Unresolved Mention"/>
    <w:basedOn w:val="DefaultParagraphFont"/>
    <w:uiPriority w:val="99"/>
    <w:semiHidden/>
    <w:unhideWhenUsed/>
    <w:rsid w:val="00572DFD"/>
    <w:rPr>
      <w:color w:val="605E5C"/>
      <w:shd w:val="clear" w:color="auto" w:fill="E1DFDD"/>
    </w:rPr>
  </w:style>
  <w:style w:type="character" w:customStyle="1" w:styleId="Heading1Char">
    <w:name w:val="Heading 1 Char"/>
    <w:basedOn w:val="DefaultParagraphFont"/>
    <w:link w:val="Heading1"/>
    <w:uiPriority w:val="1"/>
    <w:rsid w:val="005A6336"/>
    <w:rPr>
      <w:rFonts w:ascii="Times New Roman" w:eastAsia="Times New Roman" w:hAnsi="Times New Roman" w:cs="Times New Roman"/>
      <w:b/>
      <w:bCs/>
      <w:sz w:val="21"/>
      <w:szCs w:val="21"/>
    </w:rPr>
  </w:style>
  <w:style w:type="character" w:styleId="CommentReference">
    <w:name w:val="annotation reference"/>
    <w:basedOn w:val="DefaultParagraphFont"/>
    <w:uiPriority w:val="99"/>
    <w:semiHidden/>
    <w:unhideWhenUsed/>
    <w:rsid w:val="00356CAC"/>
    <w:rPr>
      <w:sz w:val="16"/>
      <w:szCs w:val="16"/>
    </w:rPr>
  </w:style>
  <w:style w:type="paragraph" w:styleId="CommentText">
    <w:name w:val="annotation text"/>
    <w:basedOn w:val="Normal"/>
    <w:link w:val="CommentTextChar"/>
    <w:uiPriority w:val="99"/>
    <w:semiHidden/>
    <w:unhideWhenUsed/>
    <w:rsid w:val="00356CAC"/>
    <w:pPr>
      <w:spacing w:line="240" w:lineRule="auto"/>
    </w:pPr>
    <w:rPr>
      <w:sz w:val="20"/>
      <w:szCs w:val="20"/>
    </w:rPr>
  </w:style>
  <w:style w:type="character" w:customStyle="1" w:styleId="CommentTextChar">
    <w:name w:val="Comment Text Char"/>
    <w:basedOn w:val="DefaultParagraphFont"/>
    <w:link w:val="CommentText"/>
    <w:uiPriority w:val="99"/>
    <w:semiHidden/>
    <w:rsid w:val="00356CAC"/>
    <w:rPr>
      <w:sz w:val="20"/>
      <w:szCs w:val="20"/>
    </w:rPr>
  </w:style>
  <w:style w:type="paragraph" w:styleId="CommentSubject">
    <w:name w:val="annotation subject"/>
    <w:basedOn w:val="CommentText"/>
    <w:next w:val="CommentText"/>
    <w:link w:val="CommentSubjectChar"/>
    <w:uiPriority w:val="99"/>
    <w:semiHidden/>
    <w:unhideWhenUsed/>
    <w:rsid w:val="00356CAC"/>
    <w:rPr>
      <w:b/>
      <w:bCs/>
    </w:rPr>
  </w:style>
  <w:style w:type="character" w:customStyle="1" w:styleId="CommentSubjectChar">
    <w:name w:val="Comment Subject Char"/>
    <w:basedOn w:val="CommentTextChar"/>
    <w:link w:val="CommentSubject"/>
    <w:uiPriority w:val="99"/>
    <w:semiHidden/>
    <w:rsid w:val="00356C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04866">
      <w:bodyDiv w:val="1"/>
      <w:marLeft w:val="0"/>
      <w:marRight w:val="0"/>
      <w:marTop w:val="0"/>
      <w:marBottom w:val="0"/>
      <w:divBdr>
        <w:top w:val="none" w:sz="0" w:space="0" w:color="auto"/>
        <w:left w:val="none" w:sz="0" w:space="0" w:color="auto"/>
        <w:bottom w:val="none" w:sz="0" w:space="0" w:color="auto"/>
        <w:right w:val="none" w:sz="0" w:space="0" w:color="auto"/>
      </w:divBdr>
    </w:div>
    <w:div w:id="658772489">
      <w:bodyDiv w:val="1"/>
      <w:marLeft w:val="0"/>
      <w:marRight w:val="0"/>
      <w:marTop w:val="0"/>
      <w:marBottom w:val="0"/>
      <w:divBdr>
        <w:top w:val="none" w:sz="0" w:space="0" w:color="auto"/>
        <w:left w:val="none" w:sz="0" w:space="0" w:color="auto"/>
        <w:bottom w:val="none" w:sz="0" w:space="0" w:color="auto"/>
        <w:right w:val="none" w:sz="0" w:space="0" w:color="auto"/>
      </w:divBdr>
    </w:div>
    <w:div w:id="1314867993">
      <w:bodyDiv w:val="1"/>
      <w:marLeft w:val="0"/>
      <w:marRight w:val="0"/>
      <w:marTop w:val="0"/>
      <w:marBottom w:val="0"/>
      <w:divBdr>
        <w:top w:val="none" w:sz="0" w:space="0" w:color="auto"/>
        <w:left w:val="none" w:sz="0" w:space="0" w:color="auto"/>
        <w:bottom w:val="none" w:sz="0" w:space="0" w:color="auto"/>
        <w:right w:val="none" w:sz="0" w:space="0" w:color="auto"/>
      </w:divBdr>
    </w:div>
    <w:div w:id="200651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azo001@fiu.edu" TargetMode="External"/><Relationship Id="rId13" Type="http://schemas.microsoft.com/office/2018/08/relationships/commentsExtensible" Target="commentsExtensible.xml"/><Relationship Id="rId18" Type="http://schemas.openxmlformats.org/officeDocument/2006/relationships/hyperlink" Target="https://www.ncbi.nlm.nih.gov/books/NBK441843/"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yperlink" Target="mailto:rdpgawards@gmail.com" TargetMode="External"/><Relationship Id="rId12" Type="http://schemas.microsoft.com/office/2016/09/relationships/commentsIds" Target="commentsIds.xml"/><Relationship Id="rId17" Type="http://schemas.openxmlformats.org/officeDocument/2006/relationships/hyperlink" Target="https://doi.org/10.1534/genetics.107.084384" TargetMode="External"/><Relationship Id="rId2" Type="http://schemas.openxmlformats.org/officeDocument/2006/relationships/styles" Target="styles.xml"/><Relationship Id="rId16" Type="http://schemas.openxmlformats.org/officeDocument/2006/relationships/hyperlink" Target="https://genecodis.genyo.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hyperlink" Target="https://carolina.imis.athena-innovation.gr/diana_tools/web/index.php" TargetMode="External"/><Relationship Id="rId10" Type="http://schemas.openxmlformats.org/officeDocument/2006/relationships/comments" Target="comments.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cdc.gov/Nchs/Nhanes/ContinuousNhanes/Default.aspx?BeginYear=2015" TargetMode="External"/><Relationship Id="rId14" Type="http://schemas.openxmlformats.org/officeDocument/2006/relationships/hyperlink" Target="http://www.targetscan.org/vert_7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10</Pages>
  <Words>4077</Words>
  <Characters>21364</Characters>
  <Application>Microsoft Office Word</Application>
  <DocSecurity>0</DocSecurity>
  <Lines>547</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Changwon Yoo</cp:lastModifiedBy>
  <cp:revision>2</cp:revision>
  <dcterms:created xsi:type="dcterms:W3CDTF">2021-05-27T18:55:00Z</dcterms:created>
  <dcterms:modified xsi:type="dcterms:W3CDTF">2021-05-27T18:55:00Z</dcterms:modified>
</cp:coreProperties>
</file>