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E6A48" w14:textId="46B6B79E" w:rsidR="006B3847" w:rsidRPr="006B3847" w:rsidRDefault="006B3847" w:rsidP="006B3847">
      <w:pPr>
        <w:spacing w:after="0" w:line="240" w:lineRule="auto"/>
        <w:rPr>
          <w:rFonts w:ascii="Helvetica" w:eastAsia="Times New Roman" w:hAnsi="Helvetica" w:cs="Helvetica"/>
          <w:color w:val="000000"/>
          <w:sz w:val="32"/>
          <w:szCs w:val="32"/>
        </w:rPr>
      </w:pPr>
      <w:r w:rsidRPr="006B3847">
        <w:rPr>
          <w:rFonts w:ascii="Helvetica" w:eastAsia="Times New Roman" w:hAnsi="Helvetica" w:cs="Helvetica"/>
          <w:color w:val="000000"/>
          <w:sz w:val="32"/>
          <w:szCs w:val="32"/>
        </w:rPr>
        <w:tab/>
      </w:r>
      <w:r w:rsidRPr="006B3847">
        <w:rPr>
          <w:rFonts w:ascii="Helvetica" w:eastAsia="Times New Roman" w:hAnsi="Helvetica" w:cs="Helvetica"/>
          <w:color w:val="000000"/>
          <w:sz w:val="32"/>
          <w:szCs w:val="32"/>
        </w:rPr>
        <w:tab/>
      </w:r>
      <w:r w:rsidRPr="006B3847">
        <w:rPr>
          <w:rFonts w:ascii="Helvetica" w:eastAsia="Times New Roman" w:hAnsi="Helvetica" w:cs="Helvetica"/>
          <w:color w:val="000000"/>
          <w:sz w:val="32"/>
          <w:szCs w:val="32"/>
        </w:rPr>
        <w:tab/>
      </w:r>
      <w:r w:rsidRPr="006B3847">
        <w:rPr>
          <w:rFonts w:ascii="Helvetica" w:eastAsia="Times New Roman" w:hAnsi="Helvetica" w:cs="Helvetica"/>
          <w:color w:val="000000"/>
          <w:sz w:val="32"/>
          <w:szCs w:val="32"/>
        </w:rPr>
        <w:tab/>
        <w:t>TCGA Publication</w:t>
      </w:r>
    </w:p>
    <w:p w14:paraId="6C580B86" w14:textId="77777777" w:rsidR="006B3847" w:rsidRDefault="006B3847" w:rsidP="006B3847">
      <w:pPr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</w:rPr>
      </w:pPr>
    </w:p>
    <w:p w14:paraId="25311970" w14:textId="77777777" w:rsidR="006B3847" w:rsidRDefault="006B3847" w:rsidP="006B3847">
      <w:pPr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</w:rPr>
      </w:pPr>
    </w:p>
    <w:p w14:paraId="710754D9" w14:textId="77777777" w:rsidR="006B3847" w:rsidRDefault="006B3847" w:rsidP="006B3847">
      <w:pPr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</w:rPr>
      </w:pPr>
    </w:p>
    <w:p w14:paraId="36229599" w14:textId="67A99D60" w:rsidR="006B3847" w:rsidRDefault="006B3847" w:rsidP="006B3847">
      <w:pPr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</w:rPr>
      </w:pPr>
      <w:r>
        <w:rPr>
          <w:rFonts w:ascii="Helvetica" w:eastAsia="Times New Roman" w:hAnsi="Helvetica" w:cs="Helvetica"/>
          <w:color w:val="000000"/>
          <w:sz w:val="21"/>
          <w:szCs w:val="21"/>
        </w:rPr>
        <w:t># Study related to brain tumor</w:t>
      </w:r>
    </w:p>
    <w:p w14:paraId="55F080D3" w14:textId="77777777" w:rsidR="006B3847" w:rsidRDefault="006B3847" w:rsidP="006B3847">
      <w:pPr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</w:rPr>
      </w:pPr>
    </w:p>
    <w:p w14:paraId="58DBE839" w14:textId="5C4AA180" w:rsidR="006B3847" w:rsidRPr="006B3847" w:rsidRDefault="006B3847" w:rsidP="006B38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1.</w:t>
      </w:r>
    </w:p>
    <w:p w14:paraId="0768BB89" w14:textId="77777777" w:rsidR="006B3847" w:rsidRPr="006B3847" w:rsidRDefault="006B3847" w:rsidP="006B3847">
      <w:pPr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Comprehensive Analysis of Alternative Splicing Across Tumors from 8,705 Patients</w:t>
      </w:r>
    </w:p>
    <w:p w14:paraId="57EF2EAA" w14:textId="77777777" w:rsidR="006B3847" w:rsidRPr="006B3847" w:rsidRDefault="006B3847" w:rsidP="006B3847">
      <w:pPr>
        <w:shd w:val="clear" w:color="auto" w:fill="FAFAFA"/>
        <w:spacing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>Cancer Cell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>Volume 34 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p1-14, August 2, 2018</w:t>
      </w:r>
    </w:p>
    <w:p w14:paraId="4D623BB0" w14:textId="481F44C3" w:rsidR="006B3847" w:rsidRPr="006B3847" w:rsidRDefault="006B3847" w:rsidP="006B38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elvetica" w:eastAsia="Times New Roman" w:hAnsi="Helvetica" w:cs="Helvetica"/>
          <w:color w:val="000000"/>
          <w:sz w:val="21"/>
          <w:szCs w:val="21"/>
        </w:rPr>
        <w:t>11</w:t>
      </w: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.</w:t>
      </w:r>
    </w:p>
    <w:p w14:paraId="4C98AC86" w14:textId="77777777" w:rsidR="006B3847" w:rsidRPr="006B3847" w:rsidRDefault="006B3847" w:rsidP="006B3847">
      <w:pPr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 xml:space="preserve">Spatial Organization </w:t>
      </w:r>
      <w:proofErr w:type="gramStart"/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And</w:t>
      </w:r>
      <w:proofErr w:type="gramEnd"/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 xml:space="preserve"> Molecular Correlation Of Tumor-Infiltrating Lymphocytes Using Deep Learning On Pathology Images</w:t>
      </w:r>
    </w:p>
    <w:p w14:paraId="181F6580" w14:textId="77777777" w:rsidR="006B3847" w:rsidRPr="006B3847" w:rsidRDefault="006B3847" w:rsidP="006B3847">
      <w:pPr>
        <w:shd w:val="clear" w:color="auto" w:fill="FAFAFA"/>
        <w:spacing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>Cell Reports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>Volume 23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 Issue 1: p181-193.e7, 3 April 2018</w:t>
      </w:r>
    </w:p>
    <w:p w14:paraId="2D3A85F6" w14:textId="03684865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>
        <w:rPr>
          <w:rFonts w:ascii="Helvetica" w:eastAsia="Times New Roman" w:hAnsi="Helvetica" w:cs="Helvetica"/>
          <w:color w:val="000000"/>
          <w:sz w:val="21"/>
          <w:szCs w:val="21"/>
        </w:rPr>
        <w:t>12</w:t>
      </w: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.</w:t>
      </w:r>
    </w:p>
    <w:p w14:paraId="3931F254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Pan-Cancer Analysis of lncRNA Regulation Supports Their Targeting of Cancer Genes in Each Tumor Context</w:t>
      </w:r>
    </w:p>
    <w:p w14:paraId="4C2A50B0" w14:textId="77777777" w:rsidR="006B3847" w:rsidRPr="006B3847" w:rsidRDefault="006B3847" w:rsidP="006B3847">
      <w:pPr>
        <w:shd w:val="clear" w:color="auto" w:fill="FAFAFA"/>
        <w:spacing w:line="315" w:lineRule="atLeast"/>
        <w:rPr>
          <w:rFonts w:ascii="Helvetica" w:eastAsia="Times New Roman" w:hAnsi="Helvetica" w:cs="Helvetica"/>
          <w:color w:val="6B6262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6B6262"/>
          <w:sz w:val="21"/>
          <w:szCs w:val="21"/>
        </w:rPr>
        <w:t>Cell Reports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6B6262"/>
          <w:sz w:val="21"/>
          <w:szCs w:val="21"/>
        </w:rPr>
        <w:t>Volume 23, Issue 1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 p297-312.e12, 3 April 2018</w:t>
      </w:r>
    </w:p>
    <w:p w14:paraId="10CA9DCC" w14:textId="5D1912F7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>
        <w:rPr>
          <w:rFonts w:ascii="Helvetica" w:eastAsia="Times New Roman" w:hAnsi="Helvetica" w:cs="Helvetica"/>
          <w:color w:val="000000"/>
          <w:sz w:val="21"/>
          <w:szCs w:val="21"/>
        </w:rPr>
        <w:t>19</w:t>
      </w: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.</w:t>
      </w:r>
    </w:p>
    <w:p w14:paraId="48144D3C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Scalable Open Science Approach for Mutation Calling of Tumor Exomes Using Multiple Genomic Pipelines</w:t>
      </w:r>
    </w:p>
    <w:p w14:paraId="4DE3E47E" w14:textId="77777777" w:rsidR="006B3847" w:rsidRPr="006B3847" w:rsidRDefault="006B3847" w:rsidP="006B3847">
      <w:pPr>
        <w:shd w:val="clear" w:color="auto" w:fill="FAFAFA"/>
        <w:spacing w:line="315" w:lineRule="atLeast"/>
        <w:rPr>
          <w:rFonts w:ascii="Helvetica" w:eastAsia="Times New Roman" w:hAnsi="Helvetica" w:cs="Helvetica"/>
          <w:color w:val="6B6262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6B6262"/>
          <w:sz w:val="21"/>
          <w:szCs w:val="21"/>
        </w:rPr>
        <w:t>Cell Systems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6B6262"/>
          <w:sz w:val="21"/>
          <w:szCs w:val="21"/>
        </w:rPr>
        <w:t>Volume 6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 Issue 3: p271-281.e7, 28 March 2018</w:t>
      </w:r>
    </w:p>
    <w:p w14:paraId="28AEB75A" w14:textId="34C5CA3E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>
        <w:rPr>
          <w:rFonts w:ascii="Helvetica" w:eastAsia="Times New Roman" w:hAnsi="Helvetica" w:cs="Helvetica"/>
          <w:color w:val="000000"/>
          <w:sz w:val="21"/>
          <w:szCs w:val="21"/>
        </w:rPr>
        <w:t>21</w:t>
      </w: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.</w:t>
      </w:r>
    </w:p>
    <w:p w14:paraId="51BCCF70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Cell-of-Origin Patterns Dominate the Molecular Classification of 10,000 Tumors from 33 Types of Cancer</w:t>
      </w:r>
    </w:p>
    <w:p w14:paraId="536ECA10" w14:textId="77777777" w:rsidR="006B3847" w:rsidRPr="006B3847" w:rsidRDefault="006B3847" w:rsidP="006B3847">
      <w:pPr>
        <w:shd w:val="clear" w:color="auto" w:fill="FAFAFA"/>
        <w:spacing w:line="315" w:lineRule="atLeast"/>
        <w:rPr>
          <w:rFonts w:ascii="Helvetica" w:eastAsia="Times New Roman" w:hAnsi="Helvetica" w:cs="Helvetica"/>
          <w:color w:val="6B6262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6B6262"/>
          <w:sz w:val="21"/>
          <w:szCs w:val="21"/>
        </w:rPr>
        <w:t>Cell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6B6262"/>
          <w:sz w:val="21"/>
          <w:szCs w:val="21"/>
        </w:rPr>
        <w:t>Volume 173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 Issue 2: p291–304.e6, 5 April 2018</w:t>
      </w:r>
    </w:p>
    <w:p w14:paraId="21C5F4E5" w14:textId="068AF02E" w:rsidR="00A679BD" w:rsidRDefault="00A679BD" w:rsidP="006B3847"/>
    <w:p w14:paraId="1B2CB9CE" w14:textId="4C057188" w:rsidR="006B3847" w:rsidRDefault="006B3847" w:rsidP="006B3847">
      <w:r>
        <w:t># Other study</w:t>
      </w:r>
    </w:p>
    <w:p w14:paraId="1D5D3B50" w14:textId="77777777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2.</w:t>
      </w:r>
    </w:p>
    <w:p w14:paraId="1CB92EAD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Pathogenic Germline Variants in 10,389 Adult Cancers</w:t>
      </w:r>
    </w:p>
    <w:p w14:paraId="074068AF" w14:textId="77777777" w:rsidR="006B3847" w:rsidRPr="006B3847" w:rsidRDefault="006B3847" w:rsidP="006B3847">
      <w:pPr>
        <w:shd w:val="clear" w:color="auto" w:fill="FAFAFA"/>
        <w:spacing w:line="315" w:lineRule="atLeast"/>
        <w:rPr>
          <w:rFonts w:ascii="Helvetica" w:eastAsia="Times New Roman" w:hAnsi="Helvetica" w:cs="Helvetica"/>
          <w:color w:val="6B6262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6B6262"/>
          <w:sz w:val="21"/>
          <w:szCs w:val="21"/>
        </w:rPr>
        <w:t>Cell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6B6262"/>
          <w:sz w:val="21"/>
          <w:szCs w:val="21"/>
        </w:rPr>
        <w:t>Volume 173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 Issue 2: p355–370.e14, 5 April 2018</w:t>
      </w:r>
    </w:p>
    <w:p w14:paraId="07E14F71" w14:textId="69B15E24" w:rsidR="006B3847" w:rsidRDefault="006B3847" w:rsidP="006B3847"/>
    <w:p w14:paraId="4BBC8F8A" w14:textId="77777777" w:rsidR="006B3847" w:rsidRPr="006B3847" w:rsidRDefault="006B3847" w:rsidP="006B3847">
      <w:r w:rsidRPr="006B3847">
        <w:t>3.</w:t>
      </w:r>
    </w:p>
    <w:p w14:paraId="1BDB8F48" w14:textId="77777777" w:rsidR="006B3847" w:rsidRPr="006B3847" w:rsidRDefault="006B3847" w:rsidP="006B3847">
      <w:pPr>
        <w:rPr>
          <w:b/>
          <w:bCs/>
        </w:rPr>
      </w:pPr>
      <w:r w:rsidRPr="006B3847">
        <w:rPr>
          <w:b/>
          <w:bCs/>
        </w:rPr>
        <w:t>The Immune Landscape of Cancer</w:t>
      </w:r>
    </w:p>
    <w:p w14:paraId="51147115" w14:textId="77777777" w:rsidR="006B3847" w:rsidRPr="006B3847" w:rsidRDefault="006B3847" w:rsidP="006B3847">
      <w:r w:rsidRPr="006B3847">
        <w:rPr>
          <w:i/>
          <w:iCs/>
        </w:rPr>
        <w:t>Immunity</w:t>
      </w:r>
      <w:r w:rsidRPr="006B3847">
        <w:t>. </w:t>
      </w:r>
      <w:r w:rsidRPr="006B3847">
        <w:rPr>
          <w:b/>
          <w:bCs/>
        </w:rPr>
        <w:t>48</w:t>
      </w:r>
      <w:r w:rsidRPr="006B3847">
        <w:t> p1-19, 17 April 2018</w:t>
      </w:r>
    </w:p>
    <w:p w14:paraId="3ED13110" w14:textId="77777777" w:rsidR="006B3847" w:rsidRPr="006B3847" w:rsidRDefault="006B3847" w:rsidP="006B38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lastRenderedPageBreak/>
        <w:t>4.</w:t>
      </w:r>
    </w:p>
    <w:p w14:paraId="7A5406CE" w14:textId="77777777" w:rsidR="006B3847" w:rsidRPr="006B3847" w:rsidRDefault="006B3847" w:rsidP="006B3847">
      <w:pPr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A Pan-Cancer Analysis of Enhancer Expression in Nearly 9000 Patient Samples</w:t>
      </w:r>
    </w:p>
    <w:p w14:paraId="0495FE6E" w14:textId="77777777" w:rsidR="006B3847" w:rsidRPr="006B3847" w:rsidRDefault="006B3847" w:rsidP="006B3847">
      <w:pPr>
        <w:shd w:val="clear" w:color="auto" w:fill="FAFAFA"/>
        <w:spacing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>Cell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>Volume 173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 Issue 2: p386-399, 5 April 2018</w:t>
      </w:r>
    </w:p>
    <w:p w14:paraId="3DC8D42F" w14:textId="77777777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5.</w:t>
      </w:r>
    </w:p>
    <w:p w14:paraId="5C80F31A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Comprehensive Characterization of Cancer Driver Genes and Mutations</w:t>
      </w:r>
    </w:p>
    <w:p w14:paraId="59FB1917" w14:textId="77777777" w:rsidR="006B3847" w:rsidRPr="006B3847" w:rsidRDefault="006B3847" w:rsidP="006B3847">
      <w:pPr>
        <w:shd w:val="clear" w:color="auto" w:fill="FAFAFA"/>
        <w:spacing w:line="315" w:lineRule="atLeast"/>
        <w:rPr>
          <w:rFonts w:ascii="Helvetica" w:eastAsia="Times New Roman" w:hAnsi="Helvetica" w:cs="Helvetica"/>
          <w:color w:val="6B6262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6B6262"/>
          <w:sz w:val="21"/>
          <w:szCs w:val="21"/>
        </w:rPr>
        <w:t>Cell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6B6262"/>
          <w:sz w:val="21"/>
          <w:szCs w:val="21"/>
        </w:rPr>
        <w:t>Volume 173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, Issue 2 p371-385.e18, 5 April 2018</w:t>
      </w:r>
    </w:p>
    <w:p w14:paraId="500E9520" w14:textId="77777777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6.</w:t>
      </w:r>
    </w:p>
    <w:p w14:paraId="5A7BDD3E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An Integrated TCGA Pan-Cancer Clinical Data Resource to drive high quality survival outcome analytics</w:t>
      </w:r>
    </w:p>
    <w:p w14:paraId="5CE36D96" w14:textId="77777777" w:rsidR="006B3847" w:rsidRPr="006B3847" w:rsidRDefault="006B3847" w:rsidP="006B3847">
      <w:pPr>
        <w:shd w:val="clear" w:color="auto" w:fill="FAFAFA"/>
        <w:spacing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>Cell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>Volume 173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 Issue 2: p400-416.e11, 5 April 2018</w:t>
      </w:r>
    </w:p>
    <w:p w14:paraId="116B776A" w14:textId="77777777" w:rsidR="006B3847" w:rsidRPr="006B3847" w:rsidRDefault="006B3847" w:rsidP="006B38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7.</w:t>
      </w:r>
    </w:p>
    <w:p w14:paraId="62D0CBBD" w14:textId="77777777" w:rsidR="006B3847" w:rsidRPr="006B3847" w:rsidRDefault="006B3847" w:rsidP="006B3847">
      <w:pPr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Oncogenic Signaling Pathways in The Cancer Genome Atlas</w:t>
      </w:r>
    </w:p>
    <w:p w14:paraId="7F24EE45" w14:textId="77777777" w:rsidR="006B3847" w:rsidRPr="006B3847" w:rsidRDefault="006B3847" w:rsidP="006B3847">
      <w:pPr>
        <w:shd w:val="clear" w:color="auto" w:fill="FAFAFA"/>
        <w:spacing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>Cell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>Volume 173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 Issue 2: p321–337.e10, 5 April 2018</w:t>
      </w:r>
    </w:p>
    <w:p w14:paraId="32DB9A61" w14:textId="77777777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8.</w:t>
      </w:r>
    </w:p>
    <w:p w14:paraId="2DBE4AAA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Integrated Genomic Analysis of the Ubiquitin Pathway across Cancer Types</w:t>
      </w:r>
    </w:p>
    <w:p w14:paraId="784323E9" w14:textId="77777777" w:rsidR="006B3847" w:rsidRPr="006B3847" w:rsidRDefault="006B3847" w:rsidP="006B3847">
      <w:pPr>
        <w:shd w:val="clear" w:color="auto" w:fill="FAFAFA"/>
        <w:spacing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 xml:space="preserve">Cell </w:t>
      </w:r>
      <w:proofErr w:type="spellStart"/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>Reports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.</w:t>
      </w:r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>Volume</w:t>
      </w:r>
      <w:proofErr w:type="spellEnd"/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 xml:space="preserve"> 23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 Issue 1: p213–226.e3, 3 April 2018</w:t>
      </w:r>
    </w:p>
    <w:p w14:paraId="609B649C" w14:textId="77777777" w:rsidR="006B3847" w:rsidRPr="006B3847" w:rsidRDefault="006B3847" w:rsidP="006B38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9.</w:t>
      </w:r>
    </w:p>
    <w:p w14:paraId="446FA7C3" w14:textId="77777777" w:rsidR="006B3847" w:rsidRPr="006B3847" w:rsidRDefault="006B3847" w:rsidP="006B3847">
      <w:pPr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Molecular Characterization and Clinical Relevance of Metabolic Expression Subtypes in Human Cancers</w:t>
      </w:r>
    </w:p>
    <w:p w14:paraId="0A83BDAF" w14:textId="77777777" w:rsidR="006B3847" w:rsidRPr="006B3847" w:rsidRDefault="006B3847" w:rsidP="006B3847">
      <w:pPr>
        <w:shd w:val="clear" w:color="auto" w:fill="FAFAFA"/>
        <w:spacing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 xml:space="preserve">Cell </w:t>
      </w:r>
      <w:proofErr w:type="spellStart"/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>Reports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.</w:t>
      </w:r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>Volume</w:t>
      </w:r>
      <w:proofErr w:type="spellEnd"/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 xml:space="preserve"> 23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 Issue 1: p255-269.e4, 3 April 2018</w:t>
      </w:r>
    </w:p>
    <w:p w14:paraId="1DD26EA5" w14:textId="77777777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10.</w:t>
      </w:r>
    </w:p>
    <w:p w14:paraId="2CEB6CEF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Machine Learning Identifies Stemness Features Associated with Oncogenic Dedifferentiation</w:t>
      </w:r>
    </w:p>
    <w:p w14:paraId="5EBEE11E" w14:textId="77777777" w:rsidR="006B3847" w:rsidRPr="006B3847" w:rsidRDefault="006B3847" w:rsidP="006B3847">
      <w:pPr>
        <w:shd w:val="clear" w:color="auto" w:fill="FAFAFA"/>
        <w:spacing w:line="315" w:lineRule="atLeast"/>
        <w:rPr>
          <w:rFonts w:ascii="Helvetica" w:eastAsia="Times New Roman" w:hAnsi="Helvetica" w:cs="Helvetica"/>
          <w:color w:val="6B6262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6B6262"/>
          <w:sz w:val="21"/>
          <w:szCs w:val="21"/>
        </w:rPr>
        <w:t>Cell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6B6262"/>
          <w:sz w:val="21"/>
          <w:szCs w:val="21"/>
        </w:rPr>
        <w:t>Volume 173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 Issue 2: p338-354.e15, 5 April 2018</w:t>
      </w:r>
    </w:p>
    <w:p w14:paraId="17828298" w14:textId="77777777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13.</w:t>
      </w:r>
    </w:p>
    <w:p w14:paraId="04D8D25F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Genomic and Molecular Landscape of DNA Damage Repair Deficiency across The Cancer Genome Atlas</w:t>
      </w:r>
    </w:p>
    <w:p w14:paraId="0D0B2F20" w14:textId="77777777" w:rsidR="006B3847" w:rsidRPr="006B3847" w:rsidRDefault="006B3847" w:rsidP="006B3847">
      <w:pPr>
        <w:shd w:val="clear" w:color="auto" w:fill="FAFAFA"/>
        <w:spacing w:line="315" w:lineRule="atLeast"/>
        <w:rPr>
          <w:rFonts w:ascii="Helvetica" w:eastAsia="Times New Roman" w:hAnsi="Helvetica" w:cs="Helvetica"/>
          <w:color w:val="6B6262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6B6262"/>
          <w:sz w:val="21"/>
          <w:szCs w:val="21"/>
        </w:rPr>
        <w:t>Cell Reports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6B6262"/>
          <w:sz w:val="21"/>
          <w:szCs w:val="21"/>
        </w:rPr>
        <w:t>Volume 23, Issue 1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 p239-254.e6, 3 April 2018</w:t>
      </w:r>
    </w:p>
    <w:p w14:paraId="79012938" w14:textId="77777777" w:rsidR="006B3847" w:rsidRPr="006B3847" w:rsidRDefault="006B3847" w:rsidP="006B38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14.</w:t>
      </w:r>
    </w:p>
    <w:p w14:paraId="3C9735D7" w14:textId="77777777" w:rsidR="006B3847" w:rsidRPr="006B3847" w:rsidRDefault="006B3847" w:rsidP="006B3847">
      <w:pPr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Comparative Molecular Analysis of Gastrointestinal Adenocarcinomas</w:t>
      </w:r>
    </w:p>
    <w:p w14:paraId="0FF9538C" w14:textId="77777777" w:rsidR="006B3847" w:rsidRPr="006B3847" w:rsidRDefault="006B3847" w:rsidP="006B3847">
      <w:pPr>
        <w:shd w:val="clear" w:color="auto" w:fill="FAFAFA"/>
        <w:spacing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>Cancer Cell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>33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 p1-15, 2 April 2018</w:t>
      </w:r>
    </w:p>
    <w:p w14:paraId="4472A284" w14:textId="77777777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15.</w:t>
      </w:r>
    </w:p>
    <w:p w14:paraId="7CD171AC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A Comprehensive Pan-Cancer Molecular Study of Gynecologic and Breast Cancers</w:t>
      </w:r>
    </w:p>
    <w:p w14:paraId="0A02DDE1" w14:textId="77777777" w:rsidR="006B3847" w:rsidRPr="006B3847" w:rsidRDefault="006B3847" w:rsidP="006B3847">
      <w:pPr>
        <w:shd w:val="clear" w:color="auto" w:fill="FAFAFA"/>
        <w:spacing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>Cancer Cell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>33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 p1-16, 2 April 2018</w:t>
      </w:r>
    </w:p>
    <w:p w14:paraId="0F6B914F" w14:textId="77777777" w:rsidR="006B3847" w:rsidRPr="006B3847" w:rsidRDefault="006B3847" w:rsidP="006B38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lastRenderedPageBreak/>
        <w:t>16.</w:t>
      </w:r>
    </w:p>
    <w:p w14:paraId="2CB245CA" w14:textId="77777777" w:rsidR="006B3847" w:rsidRPr="006B3847" w:rsidRDefault="006B3847" w:rsidP="006B3847">
      <w:pPr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Machine Learning Detects Pan-Cancer Ras Pathway Activation in The Cancer Genome Atlas</w:t>
      </w:r>
    </w:p>
    <w:p w14:paraId="4E2C11CD" w14:textId="77777777" w:rsidR="006B3847" w:rsidRPr="006B3847" w:rsidRDefault="006B3847" w:rsidP="006B3847">
      <w:pPr>
        <w:shd w:val="clear" w:color="auto" w:fill="FAFAFA"/>
        <w:spacing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>Cell Reports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>Volume 23, Issue 1,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 p172-180.e3, 3 April 2018</w:t>
      </w:r>
    </w:p>
    <w:p w14:paraId="5CC20450" w14:textId="77777777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17.</w:t>
      </w:r>
    </w:p>
    <w:p w14:paraId="1A2C57B8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Genomic, Pathway Network, and Immunologic Features Distinguishing Squamous Carcinomas</w:t>
      </w:r>
    </w:p>
    <w:p w14:paraId="322DDB7A" w14:textId="77777777" w:rsidR="006B3847" w:rsidRPr="006B3847" w:rsidRDefault="006B3847" w:rsidP="006B3847">
      <w:pPr>
        <w:shd w:val="clear" w:color="auto" w:fill="FAFAFA"/>
        <w:spacing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>Cancer Reports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>Volume 23, Issue 1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 p194-212.e6, 3 April 2018</w:t>
      </w:r>
    </w:p>
    <w:p w14:paraId="69212C0D" w14:textId="77777777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18.</w:t>
      </w:r>
    </w:p>
    <w:p w14:paraId="38A3DFA4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Genomic and Functional Approaches to Understanding Cancer Aneuploidy</w:t>
      </w:r>
    </w:p>
    <w:p w14:paraId="01C76628" w14:textId="77777777" w:rsidR="006B3847" w:rsidRPr="006B3847" w:rsidRDefault="006B3847" w:rsidP="006B3847">
      <w:pPr>
        <w:shd w:val="clear" w:color="auto" w:fill="FAFAFA"/>
        <w:spacing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>Cancer Cell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>33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 p1-14, 2 April 2018</w:t>
      </w:r>
    </w:p>
    <w:p w14:paraId="032BB680" w14:textId="77777777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20.</w:t>
      </w:r>
    </w:p>
    <w:p w14:paraId="3F04FCC1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 xml:space="preserve">Pan-Cancer Alterations of the MYC Oncogene and its Proximal Network Across </w:t>
      </w:r>
      <w:proofErr w:type="gramStart"/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The</w:t>
      </w:r>
      <w:proofErr w:type="gramEnd"/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 xml:space="preserve"> Cancer Genome Atlas</w:t>
      </w:r>
    </w:p>
    <w:p w14:paraId="3D61510E" w14:textId="77777777" w:rsidR="006B3847" w:rsidRPr="006B3847" w:rsidRDefault="006B3847" w:rsidP="006B3847">
      <w:pPr>
        <w:shd w:val="clear" w:color="auto" w:fill="FAFAFA"/>
        <w:spacing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3A3A3A"/>
          <w:sz w:val="21"/>
          <w:szCs w:val="21"/>
        </w:rPr>
        <w:t>Cell Systems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3A3A3A"/>
          <w:sz w:val="21"/>
          <w:szCs w:val="21"/>
        </w:rPr>
        <w:t>Volume 6</w:t>
      </w:r>
      <w:r w:rsidRPr="006B3847">
        <w:rPr>
          <w:rFonts w:ascii="Helvetica" w:eastAsia="Times New Roman" w:hAnsi="Helvetica" w:cs="Helvetica"/>
          <w:color w:val="3A3A3A"/>
          <w:sz w:val="21"/>
          <w:szCs w:val="21"/>
        </w:rPr>
        <w:t> Issue 3: p282-300.e2, 28 March 2018</w:t>
      </w:r>
    </w:p>
    <w:p w14:paraId="32D41845" w14:textId="77777777" w:rsidR="006B3847" w:rsidRPr="006B3847" w:rsidRDefault="006B3847" w:rsidP="006B3847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6B3847">
        <w:rPr>
          <w:rFonts w:ascii="Helvetica" w:eastAsia="Times New Roman" w:hAnsi="Helvetica" w:cs="Helvetica"/>
          <w:color w:val="000000"/>
          <w:sz w:val="21"/>
          <w:szCs w:val="21"/>
        </w:rPr>
        <w:t>22.</w:t>
      </w:r>
    </w:p>
    <w:p w14:paraId="0DB3D115" w14:textId="77777777" w:rsidR="006B3847" w:rsidRPr="006B3847" w:rsidRDefault="006B3847" w:rsidP="006B3847">
      <w:pPr>
        <w:shd w:val="clear" w:color="auto" w:fill="FAFAFA"/>
        <w:spacing w:after="225" w:line="300" w:lineRule="atLeast"/>
        <w:outlineLvl w:val="1"/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</w:pPr>
      <w:r w:rsidRPr="006B3847">
        <w:rPr>
          <w:rFonts w:ascii="Helvetica" w:eastAsia="Times New Roman" w:hAnsi="Helvetica" w:cs="Helvetica"/>
          <w:b/>
          <w:bCs/>
          <w:color w:val="000000"/>
          <w:sz w:val="21"/>
          <w:szCs w:val="21"/>
        </w:rPr>
        <w:t>Multiplatform Analysis of 12 Cancer Types Reveals Molecular Classification within and across Tissues of Origin</w:t>
      </w:r>
    </w:p>
    <w:p w14:paraId="4668C714" w14:textId="77777777" w:rsidR="006B3847" w:rsidRPr="006B3847" w:rsidRDefault="006B3847" w:rsidP="006B3847">
      <w:pPr>
        <w:shd w:val="clear" w:color="auto" w:fill="FAFAFA"/>
        <w:spacing w:line="315" w:lineRule="atLeast"/>
        <w:rPr>
          <w:rFonts w:ascii="Helvetica" w:eastAsia="Times New Roman" w:hAnsi="Helvetica" w:cs="Helvetica"/>
          <w:color w:val="6B6262"/>
          <w:sz w:val="21"/>
          <w:szCs w:val="21"/>
        </w:rPr>
      </w:pPr>
      <w:r w:rsidRPr="006B3847">
        <w:rPr>
          <w:rFonts w:ascii="Helvetica" w:eastAsia="Times New Roman" w:hAnsi="Helvetica" w:cs="Helvetica"/>
          <w:i/>
          <w:iCs/>
          <w:color w:val="6B6262"/>
          <w:sz w:val="21"/>
          <w:szCs w:val="21"/>
        </w:rPr>
        <w:t>Cell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. </w:t>
      </w:r>
      <w:r w:rsidRPr="006B3847">
        <w:rPr>
          <w:rFonts w:ascii="Helvetica" w:eastAsia="Times New Roman" w:hAnsi="Helvetica" w:cs="Helvetica"/>
          <w:b/>
          <w:bCs/>
          <w:color w:val="6B6262"/>
          <w:sz w:val="21"/>
          <w:szCs w:val="21"/>
        </w:rPr>
        <w:t>158</w:t>
      </w:r>
      <w:r w:rsidRPr="006B3847">
        <w:rPr>
          <w:rFonts w:ascii="Helvetica" w:eastAsia="Times New Roman" w:hAnsi="Helvetica" w:cs="Helvetica"/>
          <w:color w:val="6B6262"/>
          <w:sz w:val="21"/>
          <w:szCs w:val="21"/>
        </w:rPr>
        <w:t> Issue 4: 929-944</w:t>
      </w:r>
    </w:p>
    <w:p w14:paraId="54757ED7" w14:textId="77777777" w:rsidR="006B3847" w:rsidRDefault="006B3847" w:rsidP="006B3847"/>
    <w:sectPr w:rsidR="006B38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847"/>
    <w:rsid w:val="006B3847"/>
    <w:rsid w:val="00A6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4470B"/>
  <w15:chartTrackingRefBased/>
  <w15:docId w15:val="{4BDF4929-C40A-4668-8159-E28BC0AC8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7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8546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332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665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323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8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3424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14389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6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7542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0655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8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7874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3594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5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5359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948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9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3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104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945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9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8659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59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7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6651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7555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14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51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1318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9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29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063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9381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1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5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567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278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0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18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627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44935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5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17542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93201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20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368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06981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712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94682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1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3581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6360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4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1803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9491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2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8071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60103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1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14351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654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7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005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849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3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21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44655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2832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309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6559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524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0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1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7179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93498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0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8784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0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464</Words>
  <Characters>2650</Characters>
  <Application>Microsoft Office Word</Application>
  <DocSecurity>0</DocSecurity>
  <Lines>22</Lines>
  <Paragraphs>6</Paragraphs>
  <ScaleCrop>false</ScaleCrop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 Tanvir Hasan</dc:creator>
  <cp:keywords/>
  <dc:description/>
  <cp:lastModifiedBy>Kazi Tanvir Hasan</cp:lastModifiedBy>
  <cp:revision>1</cp:revision>
  <dcterms:created xsi:type="dcterms:W3CDTF">2021-10-21T15:06:00Z</dcterms:created>
  <dcterms:modified xsi:type="dcterms:W3CDTF">2021-10-21T15:16:00Z</dcterms:modified>
</cp:coreProperties>
</file>