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4B1" w:rsidRPr="005F04B1" w:rsidRDefault="005F04B1" w:rsidP="00CB14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b/>
          <w:color w:val="000000"/>
          <w:sz w:val="20"/>
          <w:szCs w:val="20"/>
        </w:rPr>
      </w:pPr>
      <w:r w:rsidRPr="005F04B1">
        <w:rPr>
          <w:rFonts w:ascii="Lucida Console" w:eastAsia="Times New Roman" w:hAnsi="Lucida Console" w:cs="Courier New"/>
          <w:b/>
          <w:color w:val="000000"/>
          <w:sz w:val="20"/>
          <w:szCs w:val="20"/>
        </w:rPr>
        <w:t>Variable: Cadmium Urine Levels. Continuous variable with a stem and leaf plot pre-discretization and histogram post-discretization.</w:t>
      </w:r>
    </w:p>
    <w:p w:rsidR="005F04B1" w:rsidRDefault="00CB142D" w:rsidP="00CB14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CB142D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</w:t>
      </w:r>
    </w:p>
    <w:p w:rsidR="00CB142D" w:rsidRPr="00CB142D" w:rsidRDefault="00CB142D" w:rsidP="00CB14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CB142D">
        <w:rPr>
          <w:rFonts w:ascii="Lucida Console" w:eastAsia="Times New Roman" w:hAnsi="Lucida Console" w:cs="Courier New"/>
          <w:color w:val="000000"/>
          <w:sz w:val="20"/>
          <w:szCs w:val="20"/>
        </w:rPr>
        <w:t>The decimal point is 1 digit(s) to the left of the |</w:t>
      </w:r>
    </w:p>
    <w:p w:rsidR="00CB142D" w:rsidRPr="00CB142D" w:rsidRDefault="00CB142D" w:rsidP="00CB14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</w:p>
    <w:p w:rsidR="00CB142D" w:rsidRPr="00CB142D" w:rsidRDefault="00CB142D" w:rsidP="00CB14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CB142D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 0 | 4444446789000122233344444555666666677788889</w:t>
      </w:r>
    </w:p>
    <w:p w:rsidR="00CB142D" w:rsidRPr="00CB142D" w:rsidRDefault="00CB142D" w:rsidP="00CB14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CB142D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 2 | 0001112233344445666777788888889000122222233345566777778888999</w:t>
      </w:r>
    </w:p>
    <w:p w:rsidR="00CB142D" w:rsidRPr="00CB142D" w:rsidRDefault="00CB142D" w:rsidP="00CB14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CB142D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 4 | 00000111122233455566777789001222234556778889</w:t>
      </w:r>
    </w:p>
    <w:p w:rsidR="00CB142D" w:rsidRPr="00CB142D" w:rsidRDefault="00CB142D" w:rsidP="00CB14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CB142D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 6 | 11123334444445666789001115668899</w:t>
      </w:r>
    </w:p>
    <w:p w:rsidR="00CB142D" w:rsidRPr="00CB142D" w:rsidRDefault="00CB142D" w:rsidP="00CB14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CB142D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 8 | 01112579044668</w:t>
      </w:r>
    </w:p>
    <w:p w:rsidR="00CB142D" w:rsidRPr="00CB142D" w:rsidRDefault="00CB142D" w:rsidP="00CB14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CB142D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10 | 01127112338</w:t>
      </w:r>
    </w:p>
    <w:p w:rsidR="00CB142D" w:rsidRPr="00CB142D" w:rsidRDefault="00CB142D" w:rsidP="00CB14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CB142D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12 | 24678138</w:t>
      </w:r>
    </w:p>
    <w:p w:rsidR="00CB142D" w:rsidRPr="00CB142D" w:rsidRDefault="00CB142D" w:rsidP="00CB14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CB142D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14 | 345299</w:t>
      </w:r>
    </w:p>
    <w:p w:rsidR="00CB142D" w:rsidRPr="00CB142D" w:rsidRDefault="00CB142D" w:rsidP="00CB14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CB142D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16 | 1189939</w:t>
      </w:r>
    </w:p>
    <w:p w:rsidR="00CB142D" w:rsidRPr="00CB142D" w:rsidRDefault="00CB142D" w:rsidP="00CB14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CB142D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18 | 05359</w:t>
      </w:r>
    </w:p>
    <w:p w:rsidR="00CB142D" w:rsidRPr="00CB142D" w:rsidRDefault="00CB142D" w:rsidP="00CB14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CB142D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20 | 5</w:t>
      </w:r>
    </w:p>
    <w:p w:rsidR="00CB142D" w:rsidRPr="00CB142D" w:rsidRDefault="00CB142D" w:rsidP="00CB14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CB142D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22 | </w:t>
      </w:r>
    </w:p>
    <w:p w:rsidR="00CB142D" w:rsidRPr="00CB142D" w:rsidRDefault="00CB142D" w:rsidP="00CB14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CB142D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24 | </w:t>
      </w:r>
    </w:p>
    <w:p w:rsidR="00CB142D" w:rsidRPr="00CB142D" w:rsidRDefault="00CB142D" w:rsidP="00CB14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CB142D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26 | 1</w:t>
      </w:r>
    </w:p>
    <w:p w:rsidR="00CB142D" w:rsidRPr="00CB142D" w:rsidRDefault="00CB142D" w:rsidP="00CB14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CB142D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28 | 0</w:t>
      </w:r>
    </w:p>
    <w:p w:rsidR="00CB142D" w:rsidRPr="00CB142D" w:rsidRDefault="00CB142D" w:rsidP="00CB14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CB142D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30 | </w:t>
      </w:r>
    </w:p>
    <w:p w:rsidR="00CB142D" w:rsidRPr="00CB142D" w:rsidRDefault="00CB142D" w:rsidP="00CB14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CB142D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32 | 4</w:t>
      </w:r>
    </w:p>
    <w:p w:rsidR="00CB142D" w:rsidRPr="00CB142D" w:rsidRDefault="00CB142D" w:rsidP="00CB14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CB142D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34 | </w:t>
      </w:r>
    </w:p>
    <w:p w:rsidR="00CB142D" w:rsidRPr="00CB142D" w:rsidRDefault="00CB142D" w:rsidP="00CB14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CB142D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36 | </w:t>
      </w:r>
    </w:p>
    <w:p w:rsidR="00CB142D" w:rsidRPr="00CB142D" w:rsidRDefault="00CB142D" w:rsidP="00CB14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CB142D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38 | </w:t>
      </w:r>
    </w:p>
    <w:p w:rsidR="00CB142D" w:rsidRPr="00CB142D" w:rsidRDefault="00CB142D" w:rsidP="00CB14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CB142D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40 | </w:t>
      </w:r>
    </w:p>
    <w:p w:rsidR="00CB142D" w:rsidRPr="00CB142D" w:rsidRDefault="00CB142D" w:rsidP="00CB14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CB142D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42 | </w:t>
      </w:r>
    </w:p>
    <w:p w:rsidR="00CB142D" w:rsidRPr="00CB142D" w:rsidRDefault="00CB142D" w:rsidP="00CB14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CB142D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44 | </w:t>
      </w:r>
    </w:p>
    <w:p w:rsidR="00CB142D" w:rsidRPr="00CB142D" w:rsidRDefault="00CB142D" w:rsidP="00CB14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CB142D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46 | </w:t>
      </w:r>
    </w:p>
    <w:p w:rsidR="00CB142D" w:rsidRPr="00CB142D" w:rsidRDefault="00CB142D" w:rsidP="00CB14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CB142D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48 | 3</w:t>
      </w:r>
    </w:p>
    <w:p w:rsidR="00CB142D" w:rsidRPr="00CB142D" w:rsidRDefault="00CB142D" w:rsidP="00CB14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CB142D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50 | </w:t>
      </w:r>
    </w:p>
    <w:p w:rsidR="00CB142D" w:rsidRPr="00CB142D" w:rsidRDefault="00CB142D" w:rsidP="00CB14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CB142D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52 | </w:t>
      </w:r>
    </w:p>
    <w:p w:rsidR="00CB142D" w:rsidRPr="00CB142D" w:rsidRDefault="00CB142D" w:rsidP="00CB14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CB142D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54 | </w:t>
      </w:r>
    </w:p>
    <w:p w:rsidR="00CB142D" w:rsidRPr="00CB142D" w:rsidRDefault="00CB142D" w:rsidP="00CB14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CB142D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56 | </w:t>
      </w:r>
    </w:p>
    <w:p w:rsidR="00CB142D" w:rsidRPr="00CB142D" w:rsidRDefault="00CB142D" w:rsidP="00CB14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CB142D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58 | </w:t>
      </w:r>
    </w:p>
    <w:p w:rsidR="00CB142D" w:rsidRDefault="00CB142D" w:rsidP="00CB14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CB142D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60 | 9</w:t>
      </w:r>
    </w:p>
    <w:p w:rsidR="00CB142D" w:rsidRDefault="00CB142D" w:rsidP="00CB14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</w:p>
    <w:p w:rsidR="00CB142D" w:rsidRPr="00CB142D" w:rsidRDefault="00CB142D" w:rsidP="00CB142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</w:p>
    <w:p w:rsidR="00CB142D" w:rsidRDefault="00350F95">
      <w:r>
        <w:rPr>
          <w:noProof/>
        </w:rPr>
        <mc:AlternateContent>
          <mc:Choice Requires="cx">
            <w:drawing>
              <wp:inline distT="0" distB="0" distL="0" distR="0" wp14:anchorId="35A6B117" wp14:editId="17F61CF3">
                <wp:extent cx="4572000" cy="2867025"/>
                <wp:effectExtent l="0" t="0" r="0" b="9525"/>
                <wp:docPr id="2" name="Chart 2"/>
                <wp:cNvGraphicFramePr/>
                <a:graphic xmlns:a="http://schemas.openxmlformats.org/drawingml/2006/main">
                  <a:graphicData uri="http://schemas.microsoft.com/office/drawing/2014/chartex">
                    <c:chart xmlns:c="http://schemas.openxmlformats.org/drawingml/2006/chart" xmlns:r="http://schemas.openxmlformats.org/officeDocument/2006/relationships" r:id="rId4"/>
                  </a:graphicData>
                </a:graphic>
              </wp:inline>
            </w:drawing>
          </mc:Choice>
          <mc:Fallback>
            <w:drawing>
              <wp:inline distT="0" distB="0" distL="0" distR="0" wp14:anchorId="35A6B117" wp14:editId="17F61CF3">
                <wp:extent cx="4572000" cy="2867025"/>
                <wp:effectExtent l="0" t="0" r="0" b="9525"/>
                <wp:docPr id="2" name="Chart 2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Chart 2"/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0" cy="28670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Fallback>
        </mc:AlternateContent>
      </w:r>
    </w:p>
    <w:p w:rsidR="00CB142D" w:rsidRDefault="00CB142D"/>
    <w:p w:rsidR="005F04B1" w:rsidRPr="005F04B1" w:rsidRDefault="005F04B1" w:rsidP="005F04B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b/>
          <w:color w:val="000000"/>
          <w:sz w:val="20"/>
          <w:szCs w:val="20"/>
        </w:rPr>
      </w:pPr>
      <w:r w:rsidRPr="005F04B1">
        <w:rPr>
          <w:rFonts w:ascii="Lucida Console" w:eastAsia="Times New Roman" w:hAnsi="Lucida Console" w:cs="Courier New"/>
          <w:b/>
          <w:color w:val="000000"/>
          <w:sz w:val="20"/>
          <w:szCs w:val="20"/>
        </w:rPr>
        <w:lastRenderedPageBreak/>
        <w:t xml:space="preserve">Variable: </w:t>
      </w:r>
      <w:r>
        <w:rPr>
          <w:rFonts w:ascii="Lucida Console" w:eastAsia="Times New Roman" w:hAnsi="Lucida Console" w:cs="Courier New"/>
          <w:b/>
          <w:color w:val="000000"/>
          <w:sz w:val="20"/>
          <w:szCs w:val="20"/>
        </w:rPr>
        <w:t>Triglyceride</w:t>
      </w:r>
      <w:r w:rsidRPr="005F04B1">
        <w:rPr>
          <w:rFonts w:ascii="Lucida Console" w:eastAsia="Times New Roman" w:hAnsi="Lucida Console" w:cs="Courier New"/>
          <w:b/>
          <w:color w:val="000000"/>
          <w:sz w:val="20"/>
          <w:szCs w:val="20"/>
        </w:rPr>
        <w:t xml:space="preserve"> Levels. Continuous variable with a stem and leaf plot pre-discretization and histogram post-discretization.</w:t>
      </w:r>
    </w:p>
    <w:p w:rsidR="00977F76" w:rsidRDefault="00977F76"/>
    <w:p w:rsidR="00350F95" w:rsidRDefault="00350F95" w:rsidP="00977F76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</w:p>
    <w:p w:rsidR="00977F76" w:rsidRDefault="00977F76" w:rsidP="00977F76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>The decimal point is 1 digit(s) to the right of the |</w:t>
      </w:r>
    </w:p>
    <w:p w:rsidR="00977F76" w:rsidRDefault="00977F76" w:rsidP="00977F76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</w:p>
    <w:p w:rsidR="00977F76" w:rsidRDefault="00977F76" w:rsidP="00977F76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 4 | 1678033345555556788889</w:t>
      </w:r>
    </w:p>
    <w:p w:rsidR="00977F76" w:rsidRDefault="00977F76" w:rsidP="00977F76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 6 | 00112222344455677890112334444555667778999</w:t>
      </w:r>
    </w:p>
    <w:p w:rsidR="00977F76" w:rsidRDefault="00977F76" w:rsidP="00977F76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 8 | 001233444566788901111223334455566788</w:t>
      </w:r>
    </w:p>
    <w:p w:rsidR="00977F76" w:rsidRDefault="00977F76" w:rsidP="00977F76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10 | 2233355566677890024456788</w:t>
      </w:r>
    </w:p>
    <w:p w:rsidR="00977F76" w:rsidRDefault="00977F76" w:rsidP="00977F76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12 | 0002334456677999022345678999</w:t>
      </w:r>
    </w:p>
    <w:p w:rsidR="00977F76" w:rsidRDefault="00977F76" w:rsidP="00977F76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14 | 0111344555677788889923356789</w:t>
      </w:r>
    </w:p>
    <w:p w:rsidR="00977F76" w:rsidRDefault="00977F76" w:rsidP="00977F76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16 | 02267790233459</w:t>
      </w:r>
    </w:p>
    <w:p w:rsidR="00977F76" w:rsidRDefault="00977F76" w:rsidP="00977F76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18 | 1122458258</w:t>
      </w:r>
    </w:p>
    <w:p w:rsidR="00977F76" w:rsidRDefault="00977F76" w:rsidP="00977F76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20 | 137128</w:t>
      </w:r>
    </w:p>
    <w:p w:rsidR="00977F76" w:rsidRDefault="00977F76" w:rsidP="00977F76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22 | 35678</w:t>
      </w:r>
    </w:p>
    <w:p w:rsidR="00977F76" w:rsidRDefault="00977F76" w:rsidP="00977F76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24 | 0390046</w:t>
      </w:r>
    </w:p>
    <w:p w:rsidR="00977F76" w:rsidRDefault="00977F76" w:rsidP="00977F76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26 | 78859</w:t>
      </w:r>
    </w:p>
    <w:p w:rsidR="00977F76" w:rsidRDefault="00977F76" w:rsidP="00977F76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28 | 9</w:t>
      </w:r>
    </w:p>
    <w:p w:rsidR="00977F76" w:rsidRDefault="00977F76" w:rsidP="00977F76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30 | 399</w:t>
      </w:r>
    </w:p>
    <w:p w:rsidR="00977F76" w:rsidRDefault="00977F76" w:rsidP="00977F76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32 | 0362</w:t>
      </w:r>
    </w:p>
    <w:p w:rsidR="00977F76" w:rsidRDefault="00977F76" w:rsidP="00977F76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34 | 7</w:t>
      </w:r>
    </w:p>
    <w:p w:rsidR="00977F76" w:rsidRDefault="00977F76" w:rsidP="00977F76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36 | 3</w:t>
      </w:r>
    </w:p>
    <w:p w:rsidR="00350F95" w:rsidRDefault="00350F95" w:rsidP="00977F76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</w:p>
    <w:p w:rsidR="00350F95" w:rsidRDefault="00350F95" w:rsidP="00977F76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</w:p>
    <w:p w:rsidR="00977F76" w:rsidRDefault="00350F95" w:rsidP="00977F76">
      <w:r>
        <w:rPr>
          <w:noProof/>
        </w:rPr>
        <mc:AlternateContent>
          <mc:Choice Requires="cx">
            <w:drawing>
              <wp:inline distT="0" distB="0" distL="0" distR="0" wp14:anchorId="76183322" wp14:editId="196E8362">
                <wp:extent cx="4572000" cy="2743200"/>
                <wp:effectExtent l="0" t="0" r="0" b="0"/>
                <wp:docPr id="1" name="Chart 1"/>
                <wp:cNvGraphicFramePr/>
                <a:graphic xmlns:a="http://schemas.openxmlformats.org/drawingml/2006/main">
                  <a:graphicData uri="http://schemas.microsoft.com/office/drawing/2014/chartex">
                    <c:chart xmlns:c="http://schemas.openxmlformats.org/drawingml/2006/chart" xmlns:r="http://schemas.openxmlformats.org/officeDocument/2006/relationships" r:id="rId6"/>
                  </a:graphicData>
                </a:graphic>
              </wp:inline>
            </w:drawing>
          </mc:Choice>
          <mc:Fallback>
            <w:drawing>
              <wp:inline distT="0" distB="0" distL="0" distR="0" wp14:anchorId="76183322" wp14:editId="196E8362">
                <wp:extent cx="4572000" cy="2743200"/>
                <wp:effectExtent l="0" t="0" r="0" b="0"/>
                <wp:docPr id="1" name="Chart 1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Chart 1"/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0" cy="2743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Fallback>
        </mc:AlternateContent>
      </w:r>
    </w:p>
    <w:p w:rsidR="00350F95" w:rsidRDefault="00350F95" w:rsidP="00977F76"/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</w:p>
    <w:p w:rsidR="005F04B1" w:rsidRPr="005F04B1" w:rsidRDefault="005F04B1" w:rsidP="005F04B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b/>
          <w:color w:val="000000"/>
          <w:sz w:val="20"/>
          <w:szCs w:val="20"/>
        </w:rPr>
      </w:pPr>
      <w:r w:rsidRPr="005F04B1">
        <w:rPr>
          <w:rFonts w:ascii="Lucida Console" w:eastAsia="Times New Roman" w:hAnsi="Lucida Console" w:cs="Courier New"/>
          <w:b/>
          <w:color w:val="000000"/>
          <w:sz w:val="20"/>
          <w:szCs w:val="20"/>
        </w:rPr>
        <w:t xml:space="preserve">Variable: </w:t>
      </w:r>
      <w:r>
        <w:rPr>
          <w:rFonts w:ascii="Lucida Console" w:eastAsia="Times New Roman" w:hAnsi="Lucida Console" w:cs="Courier New"/>
          <w:b/>
          <w:color w:val="000000"/>
          <w:sz w:val="20"/>
          <w:szCs w:val="20"/>
        </w:rPr>
        <w:t xml:space="preserve">Cholesterol </w:t>
      </w:r>
      <w:r w:rsidRPr="005F04B1">
        <w:rPr>
          <w:rFonts w:ascii="Lucida Console" w:eastAsia="Times New Roman" w:hAnsi="Lucida Console" w:cs="Courier New"/>
          <w:b/>
          <w:color w:val="000000"/>
          <w:sz w:val="20"/>
          <w:szCs w:val="20"/>
        </w:rPr>
        <w:t>Levels. Continuous variable with a stem and leaf plot pre-discretization and histogram post-discretization.</w:t>
      </w: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>The decimal point is 1 digit(s) to the right of the |</w:t>
      </w: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 8 | 4</w:t>
      </w: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 9 | </w:t>
      </w: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10 | 088</w:t>
      </w: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11 | 5778</w:t>
      </w: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12 | 0337</w:t>
      </w: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13 | 004567799</w:t>
      </w: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14 | 0124568</w:t>
      </w: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15 | 000122334555567888999</w:t>
      </w: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16 | 001122344455666666778899</w:t>
      </w: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17 | 01122244445557</w:t>
      </w: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18 | 000113455556777778899</w:t>
      </w: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19 | 00111222244444456667777789</w:t>
      </w: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20 | 000111122222344455688899</w:t>
      </w: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21 | 00001122223345555666788999</w:t>
      </w: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22 | 001222455677</w:t>
      </w: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23 | 11112225677889</w:t>
      </w: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24 | 1123445666</w:t>
      </w: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25 | 123399</w:t>
      </w: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26 | 36</w:t>
      </w: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27 | 36</w:t>
      </w: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28 | 56</w:t>
      </w: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29 | 126</w:t>
      </w: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30 | </w:t>
      </w: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31 | 0</w:t>
      </w: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  <w:r>
        <w:rPr>
          <w:rFonts w:ascii="Lucida Console" w:hAnsi="Lucida Console"/>
          <w:color w:val="000000"/>
        </w:rPr>
        <w:t xml:space="preserve">  32 | 0</w:t>
      </w: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</w:p>
    <w:p w:rsidR="00350F95" w:rsidRDefault="00350F95" w:rsidP="00350F95">
      <w:pPr>
        <w:pStyle w:val="HTMLPreformatted"/>
        <w:shd w:val="clear" w:color="auto" w:fill="FFFFFF"/>
        <w:wordWrap w:val="0"/>
        <w:spacing w:line="187" w:lineRule="atLeast"/>
        <w:rPr>
          <w:rFonts w:ascii="Lucida Console" w:hAnsi="Lucida Console"/>
          <w:color w:val="000000"/>
        </w:rPr>
      </w:pPr>
    </w:p>
    <w:p w:rsidR="00350F95" w:rsidRDefault="00EE4D11" w:rsidP="00350F95">
      <w:r>
        <w:rPr>
          <w:noProof/>
        </w:rPr>
        <mc:AlternateContent>
          <mc:Choice Requires="cx">
            <w:drawing>
              <wp:inline distT="0" distB="0" distL="0" distR="0" wp14:anchorId="1C5D0215" wp14:editId="372595F4">
                <wp:extent cx="4572000" cy="2743200"/>
                <wp:effectExtent l="0" t="0" r="0" b="0"/>
                <wp:docPr id="4" name="Chart 4"/>
                <wp:cNvGraphicFramePr/>
                <a:graphic xmlns:a="http://schemas.openxmlformats.org/drawingml/2006/main">
                  <a:graphicData uri="http://schemas.microsoft.com/office/drawing/2014/chartex">
                    <c:chart xmlns:c="http://schemas.openxmlformats.org/drawingml/2006/chart" xmlns:r="http://schemas.openxmlformats.org/officeDocument/2006/relationships" r:id="rId8"/>
                  </a:graphicData>
                </a:graphic>
              </wp:inline>
            </w:drawing>
          </mc:Choice>
          <mc:Fallback>
            <w:drawing>
              <wp:inline distT="0" distB="0" distL="0" distR="0" wp14:anchorId="1C5D0215" wp14:editId="372595F4">
                <wp:extent cx="4572000" cy="2743200"/>
                <wp:effectExtent l="0" t="0" r="0" b="0"/>
                <wp:docPr id="4" name="Chart 4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Chart 4"/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0" cy="2743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Fallback>
        </mc:AlternateContent>
      </w:r>
    </w:p>
    <w:p w:rsidR="00EE4D11" w:rsidRDefault="00EE4D11" w:rsidP="00350F95"/>
    <w:p w:rsidR="00EE4D11" w:rsidRDefault="00EE4D11" w:rsidP="00350F95"/>
    <w:p w:rsidR="005F04B1" w:rsidRPr="005F04B1" w:rsidRDefault="005F04B1" w:rsidP="005F04B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b/>
          <w:color w:val="000000"/>
          <w:sz w:val="20"/>
          <w:szCs w:val="20"/>
        </w:rPr>
      </w:pPr>
      <w:r w:rsidRPr="005F04B1">
        <w:rPr>
          <w:rFonts w:ascii="Lucida Console" w:eastAsia="Times New Roman" w:hAnsi="Lucida Console" w:cs="Courier New"/>
          <w:b/>
          <w:color w:val="000000"/>
          <w:sz w:val="20"/>
          <w:szCs w:val="20"/>
        </w:rPr>
        <w:lastRenderedPageBreak/>
        <w:t xml:space="preserve">Variable: </w:t>
      </w:r>
      <w:r>
        <w:rPr>
          <w:rFonts w:ascii="Lucida Console" w:eastAsia="Times New Roman" w:hAnsi="Lucida Console" w:cs="Courier New"/>
          <w:b/>
          <w:color w:val="000000"/>
          <w:sz w:val="20"/>
          <w:szCs w:val="20"/>
        </w:rPr>
        <w:t>Glucose</w:t>
      </w:r>
      <w:r w:rsidRPr="005F04B1">
        <w:rPr>
          <w:rFonts w:ascii="Lucida Console" w:eastAsia="Times New Roman" w:hAnsi="Lucida Console" w:cs="Courier New"/>
          <w:b/>
          <w:color w:val="000000"/>
          <w:sz w:val="20"/>
          <w:szCs w:val="20"/>
        </w:rPr>
        <w:t xml:space="preserve"> Levels. Continuous variable with a stem and leaf plot pre-discretization and histogram post-discretization.</w:t>
      </w:r>
    </w:p>
    <w:p w:rsidR="00EE4D11" w:rsidRDefault="00EE4D11" w:rsidP="00350F95"/>
    <w:p w:rsidR="00EE4D11" w:rsidRDefault="00EE4D11" w:rsidP="00EE4D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EE4D11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</w:t>
      </w:r>
    </w:p>
    <w:p w:rsidR="00EE4D11" w:rsidRPr="00EE4D11" w:rsidRDefault="00EE4D11" w:rsidP="00EE4D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EE4D11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The decimal point is 1 digit(s) to the right of the |</w:t>
      </w:r>
    </w:p>
    <w:p w:rsidR="00EE4D11" w:rsidRPr="00EE4D11" w:rsidRDefault="00EE4D11" w:rsidP="00EE4D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</w:p>
    <w:p w:rsidR="00EE4D11" w:rsidRPr="00EE4D11" w:rsidRDefault="00EE4D11" w:rsidP="00EE4D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EE4D11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 7 | 9</w:t>
      </w:r>
    </w:p>
    <w:p w:rsidR="00EE4D11" w:rsidRPr="00EE4D11" w:rsidRDefault="00EE4D11" w:rsidP="00EE4D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EE4D11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 8 | 111455778888899999</w:t>
      </w:r>
    </w:p>
    <w:p w:rsidR="00EE4D11" w:rsidRPr="00EE4D11" w:rsidRDefault="00EE4D11" w:rsidP="00EE4D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EE4D11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 9 | 011111112223333333333344444455555555666666677777888888889999999999</w:t>
      </w:r>
    </w:p>
    <w:p w:rsidR="00EE4D11" w:rsidRPr="00EE4D11" w:rsidRDefault="00EE4D11" w:rsidP="00EE4D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EE4D11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10 | 00000000111111122222222223333333344555555555566666677777777788889999</w:t>
      </w:r>
    </w:p>
    <w:p w:rsidR="00EE4D11" w:rsidRPr="00EE4D11" w:rsidRDefault="00EE4D11" w:rsidP="00EE4D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EE4D11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11 | 0001111112222222334444556677889</w:t>
      </w:r>
    </w:p>
    <w:p w:rsidR="00EE4D11" w:rsidRPr="00EE4D11" w:rsidRDefault="00EE4D11" w:rsidP="00EE4D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EE4D11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12 | 01145567888899</w:t>
      </w:r>
    </w:p>
    <w:p w:rsidR="00EE4D11" w:rsidRPr="00EE4D11" w:rsidRDefault="00EE4D11" w:rsidP="00EE4D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EE4D11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13 | 000002244555899</w:t>
      </w:r>
    </w:p>
    <w:p w:rsidR="00EE4D11" w:rsidRPr="00EE4D11" w:rsidRDefault="00EE4D11" w:rsidP="00EE4D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EE4D11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14 | 1159</w:t>
      </w:r>
    </w:p>
    <w:p w:rsidR="00EE4D11" w:rsidRPr="00EE4D11" w:rsidRDefault="00EE4D11" w:rsidP="00EE4D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EE4D11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15 | 345677</w:t>
      </w:r>
    </w:p>
    <w:p w:rsidR="00EE4D11" w:rsidRPr="00EE4D11" w:rsidRDefault="00EE4D11" w:rsidP="00EE4D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EE4D11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16 | </w:t>
      </w:r>
    </w:p>
    <w:p w:rsidR="00EE4D11" w:rsidRPr="00EE4D11" w:rsidRDefault="00EE4D11" w:rsidP="00EE4D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EE4D11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17 | 01</w:t>
      </w:r>
    </w:p>
    <w:p w:rsidR="00EE4D11" w:rsidRPr="00EE4D11" w:rsidRDefault="00EE4D11" w:rsidP="00EE4D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EE4D11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18 | 012</w:t>
      </w:r>
    </w:p>
    <w:p w:rsidR="00EE4D11" w:rsidRPr="00EE4D11" w:rsidRDefault="00EE4D11" w:rsidP="00EE4D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EE4D11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19 | </w:t>
      </w:r>
    </w:p>
    <w:p w:rsidR="00EE4D11" w:rsidRPr="00EE4D11" w:rsidRDefault="00EE4D11" w:rsidP="00EE4D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EE4D11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20 | 04</w:t>
      </w:r>
    </w:p>
    <w:p w:rsidR="00EE4D11" w:rsidRPr="00EE4D11" w:rsidRDefault="00EE4D11" w:rsidP="00EE4D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EE4D11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21 | </w:t>
      </w:r>
    </w:p>
    <w:p w:rsidR="00EE4D11" w:rsidRPr="00EE4D11" w:rsidRDefault="00EE4D11" w:rsidP="00EE4D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EE4D11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22 | </w:t>
      </w:r>
    </w:p>
    <w:p w:rsidR="00EE4D11" w:rsidRPr="00EE4D11" w:rsidRDefault="00EE4D11" w:rsidP="00EE4D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EE4D11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23 | </w:t>
      </w:r>
    </w:p>
    <w:p w:rsidR="00EE4D11" w:rsidRPr="00EE4D11" w:rsidRDefault="00EE4D11" w:rsidP="00EE4D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EE4D11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24 | 49</w:t>
      </w:r>
    </w:p>
    <w:p w:rsidR="00EE4D11" w:rsidRPr="00EE4D11" w:rsidRDefault="00EE4D11" w:rsidP="00EE4D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EE4D11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25 | 48</w:t>
      </w:r>
    </w:p>
    <w:p w:rsidR="00EE4D11" w:rsidRPr="00EE4D11" w:rsidRDefault="00EE4D11" w:rsidP="00EE4D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EE4D11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26 | </w:t>
      </w:r>
    </w:p>
    <w:p w:rsidR="00EE4D11" w:rsidRPr="00EE4D11" w:rsidRDefault="00EE4D11" w:rsidP="00EE4D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EE4D11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27 | </w:t>
      </w:r>
    </w:p>
    <w:p w:rsidR="00EE4D11" w:rsidRPr="00EE4D11" w:rsidRDefault="00EE4D11" w:rsidP="00EE4D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EE4D11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28 | </w:t>
      </w:r>
    </w:p>
    <w:p w:rsidR="00EE4D11" w:rsidRPr="00EE4D11" w:rsidRDefault="00EE4D11" w:rsidP="00EE4D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EE4D11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29 | 7</w:t>
      </w:r>
    </w:p>
    <w:p w:rsidR="00EE4D11" w:rsidRPr="00EE4D11" w:rsidRDefault="00EE4D11" w:rsidP="00EE4D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EE4D11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30 | </w:t>
      </w:r>
    </w:p>
    <w:p w:rsidR="00EE4D11" w:rsidRPr="00EE4D11" w:rsidRDefault="00EE4D11" w:rsidP="00EE4D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EE4D11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31 | </w:t>
      </w:r>
    </w:p>
    <w:p w:rsidR="00EE4D11" w:rsidRPr="00EE4D11" w:rsidRDefault="00EE4D11" w:rsidP="00EE4D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EE4D11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32 | 1</w:t>
      </w:r>
    </w:p>
    <w:p w:rsidR="00EE4D11" w:rsidRPr="00EE4D11" w:rsidRDefault="00EE4D11" w:rsidP="00EE4D1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EE4D11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33 | 3</w:t>
      </w:r>
    </w:p>
    <w:p w:rsidR="00EE4D11" w:rsidRDefault="00EE4D11" w:rsidP="00350F95"/>
    <w:p w:rsidR="00EE4D11" w:rsidRDefault="00EE4D11" w:rsidP="00350F95">
      <w:r>
        <w:rPr>
          <w:noProof/>
        </w:rPr>
        <mc:AlternateContent>
          <mc:Choice Requires="cx">
            <w:drawing>
              <wp:inline distT="0" distB="0" distL="0" distR="0" wp14:anchorId="4FC777EE" wp14:editId="3250D1CF">
                <wp:extent cx="4572000" cy="2743200"/>
                <wp:effectExtent l="0" t="0" r="0" b="0"/>
                <wp:docPr id="5" name="Chart 5"/>
                <wp:cNvGraphicFramePr/>
                <a:graphic xmlns:a="http://schemas.openxmlformats.org/drawingml/2006/main">
                  <a:graphicData uri="http://schemas.microsoft.com/office/drawing/2014/chartex">
                    <c:chart xmlns:c="http://schemas.openxmlformats.org/drawingml/2006/chart" xmlns:r="http://schemas.openxmlformats.org/officeDocument/2006/relationships" r:id="rId10"/>
                  </a:graphicData>
                </a:graphic>
              </wp:inline>
            </w:drawing>
          </mc:Choice>
          <mc:Fallback>
            <w:drawing>
              <wp:inline distT="0" distB="0" distL="0" distR="0" wp14:anchorId="4FC777EE" wp14:editId="3250D1CF">
                <wp:extent cx="4572000" cy="2743200"/>
                <wp:effectExtent l="0" t="0" r="0" b="0"/>
                <wp:docPr id="5" name="Chart 5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Chart 5"/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0" cy="2743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Fallback>
        </mc:AlternateContent>
      </w:r>
    </w:p>
    <w:p w:rsidR="008C15D9" w:rsidRDefault="008C15D9" w:rsidP="00350F95"/>
    <w:p w:rsidR="008C15D9" w:rsidRDefault="008C15D9" w:rsidP="00350F95"/>
    <w:p w:rsidR="008C15D9" w:rsidRDefault="008C15D9" w:rsidP="00350F95"/>
    <w:p w:rsidR="005F04B1" w:rsidRPr="005F04B1" w:rsidRDefault="005F04B1" w:rsidP="005F04B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b/>
          <w:color w:val="000000"/>
          <w:sz w:val="20"/>
          <w:szCs w:val="20"/>
        </w:rPr>
      </w:pPr>
      <w:r w:rsidRPr="005F04B1">
        <w:rPr>
          <w:rFonts w:ascii="Lucida Console" w:eastAsia="Times New Roman" w:hAnsi="Lucida Console" w:cs="Courier New"/>
          <w:b/>
          <w:color w:val="000000"/>
          <w:sz w:val="20"/>
          <w:szCs w:val="20"/>
        </w:rPr>
        <w:t xml:space="preserve">Variable: </w:t>
      </w:r>
      <w:r>
        <w:rPr>
          <w:rFonts w:ascii="Lucida Console" w:eastAsia="Times New Roman" w:hAnsi="Lucida Console" w:cs="Courier New"/>
          <w:b/>
          <w:color w:val="000000"/>
          <w:sz w:val="20"/>
          <w:szCs w:val="20"/>
        </w:rPr>
        <w:t>Systolic Blood Pressure</w:t>
      </w:r>
      <w:bookmarkStart w:id="0" w:name="_GoBack"/>
      <w:bookmarkEnd w:id="0"/>
      <w:r w:rsidRPr="005F04B1">
        <w:rPr>
          <w:rFonts w:ascii="Lucida Console" w:eastAsia="Times New Roman" w:hAnsi="Lucida Console" w:cs="Courier New"/>
          <w:b/>
          <w:color w:val="000000"/>
          <w:sz w:val="20"/>
          <w:szCs w:val="20"/>
        </w:rPr>
        <w:t>. Continuous variable with a stem and leaf plot pre-discretization and histogram post-discretization.</w:t>
      </w:r>
    </w:p>
    <w:p w:rsidR="008C15D9" w:rsidRDefault="008C15D9" w:rsidP="00350F95"/>
    <w:p w:rsidR="008C15D9" w:rsidRDefault="008C15D9" w:rsidP="00350F95"/>
    <w:p w:rsidR="008C15D9" w:rsidRPr="008C15D9" w:rsidRDefault="008C15D9" w:rsidP="008C15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8C15D9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The decimal point is 1 digit(s) to the right of the |</w:t>
      </w:r>
    </w:p>
    <w:p w:rsidR="008C15D9" w:rsidRPr="008C15D9" w:rsidRDefault="008C15D9" w:rsidP="008C15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</w:p>
    <w:p w:rsidR="008C15D9" w:rsidRPr="008C15D9" w:rsidRDefault="008C15D9" w:rsidP="008C15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8C15D9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 9 | 24888</w:t>
      </w:r>
    </w:p>
    <w:p w:rsidR="008C15D9" w:rsidRPr="008C15D9" w:rsidRDefault="008C15D9" w:rsidP="008C15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8C15D9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10 | 0000000222244444666668888888</w:t>
      </w:r>
    </w:p>
    <w:p w:rsidR="008C15D9" w:rsidRPr="008C15D9" w:rsidRDefault="008C15D9" w:rsidP="008C15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8C15D9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11 | 00000002222222224444444444466666666666666888888888888</w:t>
      </w:r>
    </w:p>
    <w:p w:rsidR="008C15D9" w:rsidRPr="008C15D9" w:rsidRDefault="008C15D9" w:rsidP="008C15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8C15D9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12 | 0000000022222222224444466666666666688888888888</w:t>
      </w:r>
    </w:p>
    <w:p w:rsidR="008C15D9" w:rsidRPr="008C15D9" w:rsidRDefault="008C15D9" w:rsidP="008C15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8C15D9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13 | 00000000022222222444444444444446666666668888888</w:t>
      </w:r>
    </w:p>
    <w:p w:rsidR="008C15D9" w:rsidRPr="008C15D9" w:rsidRDefault="008C15D9" w:rsidP="008C15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8C15D9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14 | 000002244444444466668888</w:t>
      </w:r>
    </w:p>
    <w:p w:rsidR="008C15D9" w:rsidRPr="008C15D9" w:rsidRDefault="008C15D9" w:rsidP="008C15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8C15D9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15 | 022244444466666688888</w:t>
      </w:r>
    </w:p>
    <w:p w:rsidR="008C15D9" w:rsidRPr="008C15D9" w:rsidRDefault="008C15D9" w:rsidP="008C15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8C15D9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16 | 02244668</w:t>
      </w:r>
    </w:p>
    <w:p w:rsidR="008C15D9" w:rsidRPr="008C15D9" w:rsidRDefault="008C15D9" w:rsidP="008C15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8C15D9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17 | 088</w:t>
      </w:r>
    </w:p>
    <w:p w:rsidR="008C15D9" w:rsidRPr="008C15D9" w:rsidRDefault="008C15D9" w:rsidP="008C15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8C15D9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18 | </w:t>
      </w:r>
    </w:p>
    <w:p w:rsidR="008C15D9" w:rsidRPr="008C15D9" w:rsidRDefault="008C15D9" w:rsidP="008C15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8C15D9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19 | </w:t>
      </w:r>
    </w:p>
    <w:p w:rsidR="008C15D9" w:rsidRPr="008C15D9" w:rsidRDefault="008C15D9" w:rsidP="008C15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8C15D9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20 | 2</w:t>
      </w:r>
    </w:p>
    <w:p w:rsidR="008C15D9" w:rsidRPr="008C15D9" w:rsidRDefault="008C15D9" w:rsidP="008C15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187" w:lineRule="atLeast"/>
        <w:rPr>
          <w:rFonts w:ascii="Lucida Console" w:eastAsia="Times New Roman" w:hAnsi="Lucida Console" w:cs="Courier New"/>
          <w:color w:val="000000"/>
          <w:sz w:val="20"/>
          <w:szCs w:val="20"/>
        </w:rPr>
      </w:pPr>
      <w:r w:rsidRPr="008C15D9">
        <w:rPr>
          <w:rFonts w:ascii="Lucida Console" w:eastAsia="Times New Roman" w:hAnsi="Lucida Console" w:cs="Courier New"/>
          <w:color w:val="000000"/>
          <w:sz w:val="20"/>
          <w:szCs w:val="20"/>
        </w:rPr>
        <w:t xml:space="preserve">  21 | 0</w:t>
      </w:r>
    </w:p>
    <w:p w:rsidR="008C15D9" w:rsidRDefault="008C15D9" w:rsidP="00350F95"/>
    <w:p w:rsidR="008C15D9" w:rsidRDefault="008C15D9" w:rsidP="00350F95">
      <w:r>
        <w:rPr>
          <w:noProof/>
        </w:rPr>
        <mc:AlternateContent>
          <mc:Choice Requires="cx">
            <w:drawing>
              <wp:inline distT="0" distB="0" distL="0" distR="0" wp14:anchorId="2E2D002F" wp14:editId="0F6CE37E">
                <wp:extent cx="4572000" cy="2743200"/>
                <wp:effectExtent l="0" t="0" r="0" b="0"/>
                <wp:docPr id="6" name="Chart 6"/>
                <wp:cNvGraphicFramePr/>
                <a:graphic xmlns:a="http://schemas.openxmlformats.org/drawingml/2006/main">
                  <a:graphicData uri="http://schemas.microsoft.com/office/drawing/2014/chartex">
                    <c:chart xmlns:c="http://schemas.openxmlformats.org/drawingml/2006/chart" xmlns:r="http://schemas.openxmlformats.org/officeDocument/2006/relationships" r:id="rId12"/>
                  </a:graphicData>
                </a:graphic>
              </wp:inline>
            </w:drawing>
          </mc:Choice>
          <mc:Fallback>
            <w:drawing>
              <wp:inline distT="0" distB="0" distL="0" distR="0" wp14:anchorId="2E2D002F" wp14:editId="0F6CE37E">
                <wp:extent cx="4572000" cy="2743200"/>
                <wp:effectExtent l="0" t="0" r="0" b="0"/>
                <wp:docPr id="6" name="Chart 6"/>
                <wp:cNvGraphicFramePr>
                  <a:graphicFrameLocks xmlns:a="http://schemas.openxmlformats.org/drawingml/2006/main" noGrp="1" noDrilldown="1" noSelect="1" noChangeAspect="1" noMove="1" noResize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Chart 6"/>
                        <pic:cNvPicPr>
                          <a:picLocks noGrp="1" noRot="1" noChangeAspect="1" noMove="1" noResize="1" noEditPoints="1" noAdjustHandles="1" noChangeArrowheads="1" noChangeShapeType="1"/>
                        </pic:cNvPicPr>
                      </pic:nvPicPr>
                      <pic:blipFill>
                        <a:blip r:embed="rId1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0" cy="2743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Fallback>
        </mc:AlternateContent>
      </w:r>
    </w:p>
    <w:sectPr w:rsidR="008C15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42D"/>
    <w:rsid w:val="00071449"/>
    <w:rsid w:val="00350F95"/>
    <w:rsid w:val="005F04B1"/>
    <w:rsid w:val="008C15D9"/>
    <w:rsid w:val="00977F76"/>
    <w:rsid w:val="00CB142D"/>
    <w:rsid w:val="00EE4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7098A"/>
  <w15:chartTrackingRefBased/>
  <w15:docId w15:val="{6F20FA99-26E1-4A02-A793-F006194C6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77F76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77F76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79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3.xml"/><Relationship Id="rId13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chart" Target="charts/chart5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chart" Target="charts/chart4.xml"/><Relationship Id="rId4" Type="http://schemas.openxmlformats.org/officeDocument/2006/relationships/chart" Target="charts/chart1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oleObject" Target="file:///C:\Users\Mark\Desktop\Bayesian%20Analysis%20Class\Analysis_1_Data_csv.csv" TargetMode="External"/></Relationships>
</file>

<file path=word/charts/_rels/chart2.xml.rels><?xml version="1.0" encoding="UTF-8" standalone="yes"?>
<Relationships xmlns="http://schemas.openxmlformats.org/package/2006/relationships"><Relationship Id="rId3" Type="http://schemas.microsoft.com/office/2011/relationships/chartColorStyle" Target="colors2.xml"/><Relationship Id="rId2" Type="http://schemas.microsoft.com/office/2011/relationships/chartStyle" Target="style2.xml"/><Relationship Id="rId1" Type="http://schemas.openxmlformats.org/officeDocument/2006/relationships/oleObject" Target="file:///C:\Users\Mark\Desktop\Bayesian%20Analysis%20Class\Analysis_1_Data_csv.csv" TargetMode="External"/></Relationships>
</file>

<file path=word/charts/_rels/chart3.xml.rels><?xml version="1.0" encoding="UTF-8" standalone="yes"?>
<Relationships xmlns="http://schemas.openxmlformats.org/package/2006/relationships"><Relationship Id="rId3" Type="http://schemas.microsoft.com/office/2011/relationships/chartColorStyle" Target="colors3.xml"/><Relationship Id="rId2" Type="http://schemas.microsoft.com/office/2011/relationships/chartStyle" Target="style3.xml"/><Relationship Id="rId1" Type="http://schemas.openxmlformats.org/officeDocument/2006/relationships/oleObject" Target="file:///C:\Users\Mark\Desktop\Bayesian%20Analysis%20Class\Analysis_1_Data_csv.csv" TargetMode="External"/></Relationships>
</file>

<file path=word/charts/_rels/chart4.xml.rels><?xml version="1.0" encoding="UTF-8" standalone="yes"?>
<Relationships xmlns="http://schemas.openxmlformats.org/package/2006/relationships"><Relationship Id="rId3" Type="http://schemas.microsoft.com/office/2011/relationships/chartColorStyle" Target="colors4.xml"/><Relationship Id="rId2" Type="http://schemas.microsoft.com/office/2011/relationships/chartStyle" Target="style4.xml"/><Relationship Id="rId1" Type="http://schemas.openxmlformats.org/officeDocument/2006/relationships/oleObject" Target="file:///C:\Users\Mark\AppData\Roaming\Microsoft\Excel\Analysis_1_Data_csv%20(version%201).xlsb" TargetMode="External"/></Relationships>
</file>

<file path=word/charts/_rels/chart5.xml.rels><?xml version="1.0" encoding="UTF-8" standalone="yes"?>
<Relationships xmlns="http://schemas.openxmlformats.org/package/2006/relationships"><Relationship Id="rId3" Type="http://schemas.microsoft.com/office/2011/relationships/chartColorStyle" Target="colors5.xml"/><Relationship Id="rId2" Type="http://schemas.microsoft.com/office/2011/relationships/chartStyle" Target="style5.xml"/><Relationship Id="rId1" Type="http://schemas.openxmlformats.org/officeDocument/2006/relationships/oleObject" Target="file:///C:\Users\Mark\Desktop\Bayesian%20Analysis%20Class\Analysis_1_Data_csv.csv" TargetMode="External"/></Relationships>
</file>

<file path=word/charts/chart1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strDim type="cat">
        <cx:f>'Cadmium - Histogram'!$B$2:$B$238</cx:f>
        <cx:lvl ptCount="0"/>
      </cx:strDim>
      <cx:numDim type="val">
        <cx:f>'Cadmium - Histogram'!$C$2:$C$238</cx:f>
        <cx:lvl ptCount="0" formatCode="General"/>
      </cx:numDim>
    </cx:data>
  </cx:chartData>
  <cx:chart>
    <cx:title pos="t" align="ctr" overlay="0">
      <cx:tx>
        <cx:rich>
          <a:bodyPr spcFirstLastPara="1" vertOverflow="ellipsis" wrap="square" lIns="0" tIns="0" rIns="0" bIns="0" anchor="ctr" anchorCtr="1"/>
          <a:lstStyle/>
          <a:p>
            <a:pPr algn="ctr">
              <a:defRPr/>
            </a:pPr>
            <a:r>
              <a:rPr lang="en-US"/>
              <a:t>Cadmium: Post-discretization</a:t>
            </a:r>
          </a:p>
          <a:p>
            <a:pPr algn="ctr">
              <a:defRPr/>
            </a:pPr>
            <a:r>
              <a:rPr lang="en-US"/>
              <a:t>1=greater or equal to 0.5, 0=less than 4.9</a:t>
            </a:r>
          </a:p>
        </cx:rich>
      </cx:tx>
    </cx:title>
    <cx:plotArea>
      <cx:plotAreaRegion>
        <cx:series layoutId="clusteredColumn" uniqueId="{8E87268D-175D-4A93-AD7A-E4F80ECF5F48}">
          <cx:dataLabels pos="inEnd">
            <cx:visibility seriesName="0" categoryName="0" value="1"/>
          </cx:dataLabels>
          <cx:dataId val="0"/>
          <cx:layoutPr>
            <cx:aggregation/>
          </cx:layoutPr>
        </cx:series>
      </cx:plotAreaRegion>
      <cx:axis id="0">
        <cx:catScaling gapWidth="0"/>
        <cx:tickLabels/>
      </cx:axis>
      <cx:axis id="1" hidden="1">
        <cx:valScaling/>
        <cx:majorGridlines/>
        <cx:tickLabels/>
      </cx:axis>
    </cx:plotArea>
  </cx:chart>
  <cx:clrMapOvr bg1="lt1" tx1="dk1" bg2="lt2" tx2="dk2" accent1="accent1" accent2="accent2" accent3="accent3" accent4="accent4" accent5="accent5" accent6="accent6" hlink="hlink" folHlink="folHlink"/>
</cx:chartSpace>
</file>

<file path=word/charts/chart2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strDim type="cat">
        <cx:f>Sheet2!$B$2:$B$238</cx:f>
        <cx:lvl ptCount="0"/>
      </cx:strDim>
      <cx:numDim type="val">
        <cx:f>Sheet2!$C$2:$C$238</cx:f>
        <cx:lvl ptCount="0" formatCode="General"/>
      </cx:numDim>
    </cx:data>
  </cx:chartData>
  <cx:chart>
    <cx:title pos="t" align="ctr" overlay="0">
      <cx:tx>
        <cx:rich>
          <a:bodyPr spcFirstLastPara="1" vertOverflow="ellipsis" wrap="square" lIns="0" tIns="0" rIns="0" bIns="0" anchor="ctr" anchorCtr="1"/>
          <a:lstStyle/>
          <a:p>
            <a:pPr algn="ctr">
              <a:defRPr/>
            </a:pPr>
            <a:r>
              <a:rPr lang="en-US"/>
              <a:t>Tryglycerides - Post-discretization</a:t>
            </a:r>
          </a:p>
          <a:p>
            <a:pPr algn="ctr">
              <a:defRPr/>
            </a:pPr>
            <a:r>
              <a:rPr lang="en-US"/>
              <a:t>Normal = 1, &gt;=200 / High =0, &lt;=199</a:t>
            </a:r>
          </a:p>
        </cx:rich>
      </cx:tx>
    </cx:title>
    <cx:plotArea>
      <cx:plotAreaRegion>
        <cx:series layoutId="clusteredColumn" uniqueId="{120BA9EC-780C-4821-827A-8723945042EC}">
          <cx:dataLabels pos="inEnd">
            <cx:visibility seriesName="0" categoryName="0" value="1"/>
          </cx:dataLabels>
          <cx:dataId val="0"/>
          <cx:layoutPr>
            <cx:aggregation/>
          </cx:layoutPr>
        </cx:series>
      </cx:plotAreaRegion>
      <cx:axis id="0">
        <cx:catScaling gapWidth="0"/>
        <cx:tickLabels/>
      </cx:axis>
      <cx:axis id="1" hidden="1">
        <cx:valScaling/>
        <cx:majorGridlines/>
        <cx:tickLabels/>
      </cx:axis>
    </cx:plotArea>
  </cx:chart>
  <cx:clrMapOvr bg1="lt1" tx1="dk1" bg2="lt2" tx2="dk2" accent1="accent1" accent2="accent2" accent3="accent3" accent4="accent4" accent5="accent5" accent6="accent6" hlink="hlink" folHlink="folHlink"/>
</cx:chartSpace>
</file>

<file path=word/charts/chart3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strDim type="cat">
        <cx:f>'Cholesterol - Histogram'!$B$2:$B$238</cx:f>
        <cx:lvl ptCount="0"/>
      </cx:strDim>
      <cx:numDim type="val">
        <cx:f>'Cholesterol - Histogram'!$C$2:$C$238</cx:f>
        <cx:lvl ptCount="0" formatCode="General"/>
      </cx:numDim>
    </cx:data>
  </cx:chartData>
  <cx:chart>
    <cx:title pos="t" align="ctr" overlay="0">
      <cx:tx>
        <cx:rich>
          <a:bodyPr spcFirstLastPara="1" vertOverflow="ellipsis" wrap="square" lIns="0" tIns="0" rIns="0" bIns="0" anchor="ctr" anchorCtr="1"/>
          <a:lstStyle/>
          <a:p>
            <a:pPr algn="ctr">
              <a:defRPr/>
            </a:pPr>
            <a:r>
              <a:rPr lang="en-US"/>
              <a:t>Cholesterol - Discretized</a:t>
            </a:r>
          </a:p>
          <a:p>
            <a:pPr algn="ctr">
              <a:defRPr/>
            </a:pPr>
            <a:r>
              <a:rPr lang="en-US"/>
              <a:t>0 = high (over 240), 1= low (less than 239)</a:t>
            </a:r>
          </a:p>
        </cx:rich>
      </cx:tx>
    </cx:title>
    <cx:plotArea>
      <cx:plotAreaRegion>
        <cx:series layoutId="clusteredColumn" uniqueId="{B92CF19E-D518-4621-9B68-0D3F5C4E1F2D}">
          <cx:dataLabels pos="inEnd">
            <cx:visibility seriesName="0" categoryName="0" value="1"/>
          </cx:dataLabels>
          <cx:dataId val="0"/>
          <cx:layoutPr>
            <cx:aggregation/>
          </cx:layoutPr>
        </cx:series>
      </cx:plotAreaRegion>
      <cx:axis id="0">
        <cx:catScaling gapWidth="0"/>
        <cx:tickLabels/>
      </cx:axis>
      <cx:axis id="1" hidden="1">
        <cx:valScaling/>
        <cx:majorGridlines/>
        <cx:tickLabels/>
      </cx:axis>
    </cx:plotArea>
  </cx:chart>
  <cx:clrMapOvr bg1="lt1" tx1="dk1" bg2="lt2" tx2="dk2" accent1="accent1" accent2="accent2" accent3="accent3" accent4="accent4" accent5="accent5" accent6="accent6" hlink="hlink" folHlink="folHlink"/>
</cx:chartSpace>
</file>

<file path=word/charts/chart4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strDim type="cat">
        <cx:f>'Glucose - Histogram'!$B$2:$B$238</cx:f>
        <cx:lvl ptCount="237">
          <cx:pt idx="0">Normal</cx:pt>
          <cx:pt idx="1">High</cx:pt>
          <cx:pt idx="2">Normal</cx:pt>
          <cx:pt idx="3">Normal</cx:pt>
          <cx:pt idx="4">Normal</cx:pt>
          <cx:pt idx="5">Normal</cx:pt>
          <cx:pt idx="6">Normal</cx:pt>
          <cx:pt idx="7">Normal</cx:pt>
          <cx:pt idx="8">Normal</cx:pt>
          <cx:pt idx="9">High</cx:pt>
          <cx:pt idx="10">Normal</cx:pt>
          <cx:pt idx="11">Normal</cx:pt>
          <cx:pt idx="12">Normal</cx:pt>
          <cx:pt idx="13">Normal</cx:pt>
          <cx:pt idx="14">Normal</cx:pt>
          <cx:pt idx="15">Normal</cx:pt>
          <cx:pt idx="16">Normal</cx:pt>
          <cx:pt idx="17">Normal</cx:pt>
          <cx:pt idx="18">Normal</cx:pt>
          <cx:pt idx="19">High</cx:pt>
          <cx:pt idx="20">Normal</cx:pt>
          <cx:pt idx="21">Normal</cx:pt>
          <cx:pt idx="22">Normal</cx:pt>
          <cx:pt idx="23">Normal</cx:pt>
          <cx:pt idx="24">Normal</cx:pt>
          <cx:pt idx="25">Normal</cx:pt>
          <cx:pt idx="26">Normal</cx:pt>
          <cx:pt idx="27">Normal</cx:pt>
          <cx:pt idx="28">Normal</cx:pt>
          <cx:pt idx="29">Normal</cx:pt>
          <cx:pt idx="30">High</cx:pt>
          <cx:pt idx="31">Normal</cx:pt>
          <cx:pt idx="32">Normal</cx:pt>
          <cx:pt idx="33">Normal</cx:pt>
          <cx:pt idx="34">Normal</cx:pt>
          <cx:pt idx="35">Normal</cx:pt>
          <cx:pt idx="36">Normal</cx:pt>
          <cx:pt idx="37">Normal</cx:pt>
          <cx:pt idx="38">High</cx:pt>
          <cx:pt idx="39">High</cx:pt>
          <cx:pt idx="40">Normal</cx:pt>
          <cx:pt idx="41">High</cx:pt>
          <cx:pt idx="42">Normal</cx:pt>
          <cx:pt idx="43">Normal</cx:pt>
          <cx:pt idx="44">Normal</cx:pt>
          <cx:pt idx="45">Normal</cx:pt>
          <cx:pt idx="46">High</cx:pt>
          <cx:pt idx="47">Normal</cx:pt>
          <cx:pt idx="48">High</cx:pt>
          <cx:pt idx="49">Normal</cx:pt>
          <cx:pt idx="50">Normal</cx:pt>
          <cx:pt idx="51">Normal</cx:pt>
          <cx:pt idx="52">Normal</cx:pt>
          <cx:pt idx="53">Normal</cx:pt>
          <cx:pt idx="54">Normal</cx:pt>
          <cx:pt idx="55">Normal</cx:pt>
          <cx:pt idx="56">Normal</cx:pt>
          <cx:pt idx="57">Normal</cx:pt>
          <cx:pt idx="58">High</cx:pt>
          <cx:pt idx="59">High</cx:pt>
          <cx:pt idx="60">High</cx:pt>
          <cx:pt idx="61">Normal</cx:pt>
          <cx:pt idx="62">Normal</cx:pt>
          <cx:pt idx="63">High</cx:pt>
          <cx:pt idx="64">Normal</cx:pt>
          <cx:pt idx="65">Normal</cx:pt>
          <cx:pt idx="66">Normal</cx:pt>
          <cx:pt idx="67">Normal</cx:pt>
          <cx:pt idx="68">Normal</cx:pt>
          <cx:pt idx="69">High</cx:pt>
          <cx:pt idx="70">Normal</cx:pt>
          <cx:pt idx="71">Normal</cx:pt>
          <cx:pt idx="72">Normal</cx:pt>
          <cx:pt idx="73">High</cx:pt>
          <cx:pt idx="74">Normal</cx:pt>
          <cx:pt idx="75">High</cx:pt>
          <cx:pt idx="76">Normal</cx:pt>
          <cx:pt idx="77">High</cx:pt>
          <cx:pt idx="78">Normal</cx:pt>
          <cx:pt idx="79">Normal</cx:pt>
          <cx:pt idx="80">High</cx:pt>
          <cx:pt idx="81">Normal</cx:pt>
          <cx:pt idx="82">High</cx:pt>
          <cx:pt idx="83">High</cx:pt>
          <cx:pt idx="84">Normal</cx:pt>
          <cx:pt idx="85">Normal</cx:pt>
          <cx:pt idx="86">Normal</cx:pt>
          <cx:pt idx="87">Normal</cx:pt>
          <cx:pt idx="88">Normal</cx:pt>
          <cx:pt idx="89">High</cx:pt>
          <cx:pt idx="90">Normal</cx:pt>
          <cx:pt idx="91">Normal</cx:pt>
          <cx:pt idx="92">Normal</cx:pt>
          <cx:pt idx="93">Normal</cx:pt>
          <cx:pt idx="94">Normal</cx:pt>
          <cx:pt idx="95">Normal</cx:pt>
          <cx:pt idx="96">Normal</cx:pt>
          <cx:pt idx="97">Normal</cx:pt>
          <cx:pt idx="98">Normal</cx:pt>
          <cx:pt idx="99">Normal</cx:pt>
          <cx:pt idx="100">Normal</cx:pt>
          <cx:pt idx="101">Normal</cx:pt>
          <cx:pt idx="102">Normal</cx:pt>
          <cx:pt idx="103">Normal</cx:pt>
          <cx:pt idx="104">High</cx:pt>
          <cx:pt idx="105">Normal</cx:pt>
          <cx:pt idx="106">High</cx:pt>
          <cx:pt idx="107">Normal</cx:pt>
          <cx:pt idx="108">High</cx:pt>
          <cx:pt idx="109">High</cx:pt>
          <cx:pt idx="110">High</cx:pt>
          <cx:pt idx="111">Normal</cx:pt>
          <cx:pt idx="112">Normal</cx:pt>
          <cx:pt idx="113">Normal</cx:pt>
          <cx:pt idx="114">Normal</cx:pt>
          <cx:pt idx="115">Normal</cx:pt>
          <cx:pt idx="116">Normal</cx:pt>
          <cx:pt idx="117">Normal</cx:pt>
          <cx:pt idx="118">Normal</cx:pt>
          <cx:pt idx="119">Normal</cx:pt>
          <cx:pt idx="120">High</cx:pt>
          <cx:pt idx="121">Normal</cx:pt>
          <cx:pt idx="122">Normal</cx:pt>
          <cx:pt idx="123">Normal</cx:pt>
          <cx:pt idx="124">Normal</cx:pt>
          <cx:pt idx="125">Normal</cx:pt>
          <cx:pt idx="126">Normal</cx:pt>
          <cx:pt idx="127">Normal</cx:pt>
          <cx:pt idx="128">Normal</cx:pt>
          <cx:pt idx="129">Normal</cx:pt>
          <cx:pt idx="130">High</cx:pt>
          <cx:pt idx="131">High</cx:pt>
          <cx:pt idx="132">Normal</cx:pt>
          <cx:pt idx="133">Normal</cx:pt>
          <cx:pt idx="134">Normal</cx:pt>
          <cx:pt idx="135">Normal</cx:pt>
          <cx:pt idx="136">Normal</cx:pt>
          <cx:pt idx="137">Normal</cx:pt>
          <cx:pt idx="138">Normal</cx:pt>
          <cx:pt idx="139">Normal</cx:pt>
          <cx:pt idx="140">Normal</cx:pt>
          <cx:pt idx="141">Normal</cx:pt>
          <cx:pt idx="142">Normal</cx:pt>
          <cx:pt idx="143">Normal</cx:pt>
          <cx:pt idx="144">Normal</cx:pt>
          <cx:pt idx="145">Normal</cx:pt>
          <cx:pt idx="146">Normal</cx:pt>
          <cx:pt idx="147">High</cx:pt>
          <cx:pt idx="148">Normal</cx:pt>
          <cx:pt idx="149">Normal</cx:pt>
          <cx:pt idx="150">Normal</cx:pt>
          <cx:pt idx="151">Normal</cx:pt>
          <cx:pt idx="152">Normal</cx:pt>
          <cx:pt idx="153">Normal</cx:pt>
          <cx:pt idx="154">Normal</cx:pt>
          <cx:pt idx="155">Normal</cx:pt>
          <cx:pt idx="156">Normal</cx:pt>
          <cx:pt idx="157">Normal</cx:pt>
          <cx:pt idx="158">Normal</cx:pt>
          <cx:pt idx="159">High</cx:pt>
          <cx:pt idx="160">Normal</cx:pt>
          <cx:pt idx="161">Normal</cx:pt>
          <cx:pt idx="162">Normal</cx:pt>
          <cx:pt idx="163">Normal</cx:pt>
          <cx:pt idx="164">High</cx:pt>
          <cx:pt idx="165">Normal</cx:pt>
          <cx:pt idx="166">Normal</cx:pt>
          <cx:pt idx="167">High</cx:pt>
          <cx:pt idx="168">Normal</cx:pt>
          <cx:pt idx="169">Normal</cx:pt>
          <cx:pt idx="170">High</cx:pt>
          <cx:pt idx="171">Normal</cx:pt>
          <cx:pt idx="172">Normal</cx:pt>
          <cx:pt idx="173">High</cx:pt>
          <cx:pt idx="174">Normal</cx:pt>
          <cx:pt idx="175">Normal</cx:pt>
          <cx:pt idx="176">Normal</cx:pt>
          <cx:pt idx="177">High</cx:pt>
          <cx:pt idx="178">Normal</cx:pt>
          <cx:pt idx="179">Normal</cx:pt>
          <cx:pt idx="180">Normal</cx:pt>
          <cx:pt idx="181">High</cx:pt>
          <cx:pt idx="182">Normal</cx:pt>
          <cx:pt idx="183">Normal</cx:pt>
          <cx:pt idx="184">Normal</cx:pt>
          <cx:pt idx="185">Normal</cx:pt>
          <cx:pt idx="186">Normal</cx:pt>
          <cx:pt idx="187">Normal</cx:pt>
          <cx:pt idx="188">Normal</cx:pt>
          <cx:pt idx="189">High</cx:pt>
          <cx:pt idx="190">Normal</cx:pt>
          <cx:pt idx="191">Normal</cx:pt>
          <cx:pt idx="192">Normal</cx:pt>
          <cx:pt idx="193">Normal</cx:pt>
          <cx:pt idx="194">High</cx:pt>
          <cx:pt idx="195">Normal</cx:pt>
          <cx:pt idx="196">High</cx:pt>
          <cx:pt idx="197">High</cx:pt>
          <cx:pt idx="198">Normal</cx:pt>
          <cx:pt idx="199">Normal</cx:pt>
          <cx:pt idx="200">Normal</cx:pt>
          <cx:pt idx="201">Normal</cx:pt>
          <cx:pt idx="202">Normal</cx:pt>
          <cx:pt idx="203">Normal</cx:pt>
          <cx:pt idx="204">Normal</cx:pt>
          <cx:pt idx="205">Normal</cx:pt>
          <cx:pt idx="206">Normal</cx:pt>
          <cx:pt idx="207">Normal</cx:pt>
          <cx:pt idx="208">Normal</cx:pt>
          <cx:pt idx="209">Normal</cx:pt>
          <cx:pt idx="210">High</cx:pt>
          <cx:pt idx="211">High</cx:pt>
          <cx:pt idx="212">Normal</cx:pt>
          <cx:pt idx="213">Normal</cx:pt>
          <cx:pt idx="214">Normal</cx:pt>
          <cx:pt idx="215">Normal</cx:pt>
          <cx:pt idx="216">Normal</cx:pt>
          <cx:pt idx="217">Normal</cx:pt>
          <cx:pt idx="218">Normal</cx:pt>
          <cx:pt idx="219">Normal</cx:pt>
          <cx:pt idx="220">Normal</cx:pt>
          <cx:pt idx="221">Normal</cx:pt>
          <cx:pt idx="222">Normal</cx:pt>
          <cx:pt idx="223">Normal</cx:pt>
          <cx:pt idx="224">High</cx:pt>
          <cx:pt idx="225">Normal</cx:pt>
          <cx:pt idx="226">High</cx:pt>
          <cx:pt idx="227">High</cx:pt>
          <cx:pt idx="228">Normal</cx:pt>
          <cx:pt idx="229">Normal</cx:pt>
          <cx:pt idx="230">Normal</cx:pt>
          <cx:pt idx="231">Normal</cx:pt>
          <cx:pt idx="232">Normal</cx:pt>
          <cx:pt idx="233">Normal</cx:pt>
          <cx:pt idx="234">Normal</cx:pt>
          <cx:pt idx="235">Normal</cx:pt>
          <cx:pt idx="236">High</cx:pt>
        </cx:lvl>
      </cx:strDim>
      <cx:numDim type="val">
        <cx:f>'Glucose - Histogram'!$C$2:$C$238</cx:f>
        <cx:lvl ptCount="237" formatCode="General">
          <cx:pt idx="0">1</cx:pt>
          <cx:pt idx="1">1</cx:pt>
          <cx:pt idx="2">1</cx:pt>
          <cx:pt idx="3">1</cx:pt>
          <cx:pt idx="4">1</cx:pt>
          <cx:pt idx="5">1</cx:pt>
          <cx:pt idx="6">1</cx:pt>
          <cx:pt idx="7">1</cx:pt>
          <cx:pt idx="8">1</cx:pt>
          <cx:pt idx="9">1</cx:pt>
          <cx:pt idx="10">1</cx:pt>
          <cx:pt idx="11">1</cx:pt>
          <cx:pt idx="12">1</cx:pt>
          <cx:pt idx="13">1</cx:pt>
          <cx:pt idx="14">1</cx:pt>
          <cx:pt idx="15">1</cx:pt>
          <cx:pt idx="16">1</cx:pt>
          <cx:pt idx="17">1</cx:pt>
          <cx:pt idx="18">1</cx:pt>
          <cx:pt idx="19">1</cx:pt>
          <cx:pt idx="20">1</cx:pt>
          <cx:pt idx="21">1</cx:pt>
          <cx:pt idx="22">1</cx:pt>
          <cx:pt idx="23">1</cx:pt>
          <cx:pt idx="24">1</cx:pt>
          <cx:pt idx="25">1</cx:pt>
          <cx:pt idx="26">1</cx:pt>
          <cx:pt idx="27">1</cx:pt>
          <cx:pt idx="28">1</cx:pt>
          <cx:pt idx="29">1</cx:pt>
          <cx:pt idx="30">1</cx:pt>
          <cx:pt idx="31">1</cx:pt>
          <cx:pt idx="32">1</cx:pt>
          <cx:pt idx="33">1</cx:pt>
          <cx:pt idx="34">1</cx:pt>
          <cx:pt idx="35">1</cx:pt>
          <cx:pt idx="36">1</cx:pt>
          <cx:pt idx="37">1</cx:pt>
          <cx:pt idx="38">1</cx:pt>
          <cx:pt idx="39">1</cx:pt>
          <cx:pt idx="40">1</cx:pt>
          <cx:pt idx="41">1</cx:pt>
          <cx:pt idx="42">1</cx:pt>
          <cx:pt idx="43">1</cx:pt>
          <cx:pt idx="44">1</cx:pt>
          <cx:pt idx="45">1</cx:pt>
          <cx:pt idx="46">1</cx:pt>
          <cx:pt idx="47">1</cx:pt>
          <cx:pt idx="48">1</cx:pt>
          <cx:pt idx="49">1</cx:pt>
          <cx:pt idx="50">1</cx:pt>
          <cx:pt idx="51">1</cx:pt>
          <cx:pt idx="52">1</cx:pt>
          <cx:pt idx="53">1</cx:pt>
          <cx:pt idx="54">1</cx:pt>
          <cx:pt idx="55">1</cx:pt>
          <cx:pt idx="56">1</cx:pt>
          <cx:pt idx="57">1</cx:pt>
          <cx:pt idx="58">1</cx:pt>
          <cx:pt idx="59">1</cx:pt>
          <cx:pt idx="60">1</cx:pt>
          <cx:pt idx="61">1</cx:pt>
          <cx:pt idx="62">1</cx:pt>
          <cx:pt idx="63">1</cx:pt>
          <cx:pt idx="64">1</cx:pt>
          <cx:pt idx="65">1</cx:pt>
          <cx:pt idx="66">1</cx:pt>
          <cx:pt idx="67">1</cx:pt>
          <cx:pt idx="68">1</cx:pt>
          <cx:pt idx="69">1</cx:pt>
          <cx:pt idx="70">1</cx:pt>
          <cx:pt idx="71">1</cx:pt>
          <cx:pt idx="72">1</cx:pt>
          <cx:pt idx="73">1</cx:pt>
          <cx:pt idx="74">1</cx:pt>
          <cx:pt idx="75">1</cx:pt>
          <cx:pt idx="76">1</cx:pt>
          <cx:pt idx="77">1</cx:pt>
          <cx:pt idx="78">1</cx:pt>
          <cx:pt idx="79">1</cx:pt>
          <cx:pt idx="80">1</cx:pt>
          <cx:pt idx="81">1</cx:pt>
          <cx:pt idx="82">1</cx:pt>
          <cx:pt idx="83">1</cx:pt>
          <cx:pt idx="84">1</cx:pt>
          <cx:pt idx="85">1</cx:pt>
          <cx:pt idx="86">1</cx:pt>
          <cx:pt idx="87">1</cx:pt>
          <cx:pt idx="88">1</cx:pt>
          <cx:pt idx="89">1</cx:pt>
          <cx:pt idx="90">1</cx:pt>
          <cx:pt idx="91">1</cx:pt>
          <cx:pt idx="92">1</cx:pt>
          <cx:pt idx="93">1</cx:pt>
          <cx:pt idx="94">1</cx:pt>
          <cx:pt idx="95">1</cx:pt>
          <cx:pt idx="96">1</cx:pt>
          <cx:pt idx="97">1</cx:pt>
          <cx:pt idx="98">1</cx:pt>
          <cx:pt idx="99">1</cx:pt>
          <cx:pt idx="100">1</cx:pt>
          <cx:pt idx="101">1</cx:pt>
          <cx:pt idx="102">1</cx:pt>
          <cx:pt idx="103">1</cx:pt>
          <cx:pt idx="104">1</cx:pt>
          <cx:pt idx="105">1</cx:pt>
          <cx:pt idx="106">1</cx:pt>
          <cx:pt idx="107">1</cx:pt>
          <cx:pt idx="108">1</cx:pt>
          <cx:pt idx="109">1</cx:pt>
          <cx:pt idx="110">1</cx:pt>
          <cx:pt idx="111">1</cx:pt>
          <cx:pt idx="112">1</cx:pt>
          <cx:pt idx="113">1</cx:pt>
          <cx:pt idx="114">1</cx:pt>
          <cx:pt idx="115">1</cx:pt>
          <cx:pt idx="116">1</cx:pt>
          <cx:pt idx="117">1</cx:pt>
          <cx:pt idx="118">1</cx:pt>
          <cx:pt idx="119">1</cx:pt>
          <cx:pt idx="120">1</cx:pt>
          <cx:pt idx="121">1</cx:pt>
          <cx:pt idx="122">1</cx:pt>
          <cx:pt idx="123">1</cx:pt>
          <cx:pt idx="124">1</cx:pt>
          <cx:pt idx="125">1</cx:pt>
          <cx:pt idx="126">1</cx:pt>
          <cx:pt idx="127">1</cx:pt>
          <cx:pt idx="128">1</cx:pt>
          <cx:pt idx="129">1</cx:pt>
          <cx:pt idx="130">1</cx:pt>
          <cx:pt idx="131">1</cx:pt>
          <cx:pt idx="132">1</cx:pt>
          <cx:pt idx="133">1</cx:pt>
          <cx:pt idx="134">1</cx:pt>
          <cx:pt idx="135">1</cx:pt>
          <cx:pt idx="136">1</cx:pt>
          <cx:pt idx="137">1</cx:pt>
          <cx:pt idx="138">1</cx:pt>
          <cx:pt idx="139">1</cx:pt>
          <cx:pt idx="140">1</cx:pt>
          <cx:pt idx="141">1</cx:pt>
          <cx:pt idx="142">1</cx:pt>
          <cx:pt idx="143">1</cx:pt>
          <cx:pt idx="144">1</cx:pt>
          <cx:pt idx="145">1</cx:pt>
          <cx:pt idx="146">1</cx:pt>
          <cx:pt idx="147">1</cx:pt>
          <cx:pt idx="148">1</cx:pt>
          <cx:pt idx="149">1</cx:pt>
          <cx:pt idx="150">1</cx:pt>
          <cx:pt idx="151">1</cx:pt>
          <cx:pt idx="152">1</cx:pt>
          <cx:pt idx="153">1</cx:pt>
          <cx:pt idx="154">1</cx:pt>
          <cx:pt idx="155">1</cx:pt>
          <cx:pt idx="156">1</cx:pt>
          <cx:pt idx="157">1</cx:pt>
          <cx:pt idx="158">1</cx:pt>
          <cx:pt idx="159">1</cx:pt>
          <cx:pt idx="160">1</cx:pt>
          <cx:pt idx="161">1</cx:pt>
          <cx:pt idx="162">1</cx:pt>
          <cx:pt idx="163">1</cx:pt>
          <cx:pt idx="164">1</cx:pt>
          <cx:pt idx="165">1</cx:pt>
          <cx:pt idx="166">1</cx:pt>
          <cx:pt idx="167">1</cx:pt>
          <cx:pt idx="168">1</cx:pt>
          <cx:pt idx="169">1</cx:pt>
          <cx:pt idx="170">1</cx:pt>
          <cx:pt idx="171">1</cx:pt>
          <cx:pt idx="172">1</cx:pt>
          <cx:pt idx="173">1</cx:pt>
          <cx:pt idx="174">1</cx:pt>
          <cx:pt idx="175">1</cx:pt>
          <cx:pt idx="176">1</cx:pt>
          <cx:pt idx="177">1</cx:pt>
          <cx:pt idx="178">1</cx:pt>
          <cx:pt idx="179">1</cx:pt>
          <cx:pt idx="180">1</cx:pt>
          <cx:pt idx="181">1</cx:pt>
          <cx:pt idx="182">1</cx:pt>
          <cx:pt idx="183">1</cx:pt>
          <cx:pt idx="184">1</cx:pt>
          <cx:pt idx="185">1</cx:pt>
          <cx:pt idx="186">1</cx:pt>
          <cx:pt idx="187">1</cx:pt>
          <cx:pt idx="188">1</cx:pt>
          <cx:pt idx="189">1</cx:pt>
          <cx:pt idx="190">1</cx:pt>
          <cx:pt idx="191">1</cx:pt>
          <cx:pt idx="192">1</cx:pt>
          <cx:pt idx="193">1</cx:pt>
          <cx:pt idx="194">1</cx:pt>
          <cx:pt idx="195">1</cx:pt>
          <cx:pt idx="196">1</cx:pt>
          <cx:pt idx="197">1</cx:pt>
          <cx:pt idx="198">1</cx:pt>
          <cx:pt idx="199">1</cx:pt>
          <cx:pt idx="200">1</cx:pt>
          <cx:pt idx="201">1</cx:pt>
          <cx:pt idx="202">1</cx:pt>
          <cx:pt idx="203">1</cx:pt>
          <cx:pt idx="204">1</cx:pt>
          <cx:pt idx="205">1</cx:pt>
          <cx:pt idx="206">1</cx:pt>
          <cx:pt idx="207">1</cx:pt>
          <cx:pt idx="208">1</cx:pt>
          <cx:pt idx="209">1</cx:pt>
          <cx:pt idx="210">1</cx:pt>
          <cx:pt idx="211">1</cx:pt>
          <cx:pt idx="212">1</cx:pt>
          <cx:pt idx="213">1</cx:pt>
          <cx:pt idx="214">1</cx:pt>
          <cx:pt idx="215">1</cx:pt>
          <cx:pt idx="216">1</cx:pt>
          <cx:pt idx="217">1</cx:pt>
          <cx:pt idx="218">1</cx:pt>
          <cx:pt idx="219">1</cx:pt>
          <cx:pt idx="220">1</cx:pt>
          <cx:pt idx="221">1</cx:pt>
          <cx:pt idx="222">1</cx:pt>
          <cx:pt idx="223">1</cx:pt>
          <cx:pt idx="224">1</cx:pt>
          <cx:pt idx="225">1</cx:pt>
          <cx:pt idx="226">1</cx:pt>
          <cx:pt idx="227">1</cx:pt>
          <cx:pt idx="228">1</cx:pt>
          <cx:pt idx="229">1</cx:pt>
          <cx:pt idx="230">1</cx:pt>
          <cx:pt idx="231">1</cx:pt>
          <cx:pt idx="232">1</cx:pt>
          <cx:pt idx="233">1</cx:pt>
          <cx:pt idx="234">1</cx:pt>
          <cx:pt idx="235">1</cx:pt>
          <cx:pt idx="236">1</cx:pt>
        </cx:lvl>
      </cx:numDim>
    </cx:data>
  </cx:chartData>
  <cx:chart>
    <cx:title pos="t" align="ctr" overlay="0">
      <cx:tx>
        <cx:rich>
          <a:bodyPr spcFirstLastPara="1" vertOverflow="ellipsis" wrap="square" lIns="0" tIns="0" rIns="0" bIns="0" anchor="ctr" anchorCtr="1"/>
          <a:lstStyle/>
          <a:p>
            <a:pPr algn="ctr">
              <a:defRPr/>
            </a:pPr>
            <a:r>
              <a:rPr lang="en-US"/>
              <a:t>Glucose - Discretized</a:t>
            </a:r>
          </a:p>
          <a:p>
            <a:pPr algn="ctr">
              <a:defRPr/>
            </a:pPr>
            <a:r>
              <a:rPr lang="en-US"/>
              <a:t>0=High (above 126), 1=Low (below 125)</a:t>
            </a:r>
          </a:p>
        </cx:rich>
      </cx:tx>
    </cx:title>
    <cx:plotArea>
      <cx:plotAreaRegion>
        <cx:series layoutId="clusteredColumn" uniqueId="{F423BFA0-10EA-4434-80DF-0452840C119F}">
          <cx:dataLabels pos="inEnd">
            <cx:visibility seriesName="0" categoryName="0" value="1"/>
          </cx:dataLabels>
          <cx:dataId val="0"/>
          <cx:layoutPr>
            <cx:aggregation/>
          </cx:layoutPr>
        </cx:series>
      </cx:plotAreaRegion>
      <cx:axis id="0">
        <cx:catScaling gapWidth="0"/>
        <cx:tickLabels/>
        <cx:txPr>
          <a:bodyPr spcFirstLastPara="1" vertOverflow="ellipsis" wrap="square" lIns="0" tIns="0" rIns="0" bIns="0" anchor="ctr" anchorCtr="1"/>
          <a:lstStyle/>
          <a:p>
            <a:pPr>
              <a:defRPr/>
            </a:pPr>
            <a:endParaRPr lang="en-US"/>
          </a:p>
        </cx:txPr>
      </cx:axis>
      <cx:axis id="1" hidden="1">
        <cx:valScaling/>
        <cx:majorGridlines/>
        <cx:tickLabels/>
      </cx:axis>
    </cx:plotArea>
  </cx:chart>
  <cx:clrMapOvr bg1="lt1" tx1="dk1" bg2="lt2" tx2="dk2" accent1="accent1" accent2="accent2" accent3="accent3" accent4="accent4" accent5="accent5" accent6="accent6" hlink="hlink" folHlink="folHlink"/>
</cx:chartSpace>
</file>

<file path=word/charts/chart5.xml><?xml version="1.0" encoding="utf-8"?>
<cx:chartSpace xmlns:a="http://schemas.openxmlformats.org/drawingml/2006/main" xmlns:r="http://schemas.openxmlformats.org/officeDocument/2006/relationships" xmlns:cx="http://schemas.microsoft.com/office/drawing/2014/chartex">
  <cx:chartData>
    <cx:externalData r:id="rId1" cx:autoUpdate="0"/>
    <cx:data id="0">
      <cx:strDim type="cat">
        <cx:f>'Blood Pressure - Histogram'!$B$2:$B$238</cx:f>
        <cx:lvl ptCount="237">
          <cx:pt idx="0">Normal</cx:pt>
          <cx:pt idx="1">Normal</cx:pt>
          <cx:pt idx="2">Normal</cx:pt>
          <cx:pt idx="3">Normal</cx:pt>
          <cx:pt idx="4">High</cx:pt>
          <cx:pt idx="5">High</cx:pt>
          <cx:pt idx="6">Normal</cx:pt>
          <cx:pt idx="7">Normal</cx:pt>
          <cx:pt idx="8">Normal</cx:pt>
          <cx:pt idx="9">Normal</cx:pt>
          <cx:pt idx="10">High</cx:pt>
          <cx:pt idx="11">High</cx:pt>
          <cx:pt idx="12">Normal</cx:pt>
          <cx:pt idx="13">High</cx:pt>
          <cx:pt idx="14">Normal</cx:pt>
          <cx:pt idx="15">Normal</cx:pt>
          <cx:pt idx="16">Normal</cx:pt>
          <cx:pt idx="17">Normal</cx:pt>
          <cx:pt idx="18">Normal</cx:pt>
          <cx:pt idx="19">High</cx:pt>
          <cx:pt idx="20">Normal</cx:pt>
          <cx:pt idx="21">Normal</cx:pt>
          <cx:pt idx="22">Normal</cx:pt>
          <cx:pt idx="23">High</cx:pt>
          <cx:pt idx="24">Normal</cx:pt>
          <cx:pt idx="25">High</cx:pt>
          <cx:pt idx="26">Normal</cx:pt>
          <cx:pt idx="27">High</cx:pt>
          <cx:pt idx="28">Normal</cx:pt>
          <cx:pt idx="29">High</cx:pt>
          <cx:pt idx="30">High</cx:pt>
          <cx:pt idx="31">Normal</cx:pt>
          <cx:pt idx="32">Normal</cx:pt>
          <cx:pt idx="33">Normal</cx:pt>
          <cx:pt idx="34">Normal</cx:pt>
          <cx:pt idx="35">High</cx:pt>
          <cx:pt idx="36">Normal</cx:pt>
          <cx:pt idx="37">Normal</cx:pt>
          <cx:pt idx="38">High</cx:pt>
          <cx:pt idx="39">Normal</cx:pt>
          <cx:pt idx="40">Normal</cx:pt>
          <cx:pt idx="41">Normal</cx:pt>
          <cx:pt idx="42">Normal</cx:pt>
          <cx:pt idx="43">High</cx:pt>
          <cx:pt idx="44">High</cx:pt>
          <cx:pt idx="45">Normal</cx:pt>
          <cx:pt idx="46">Normal</cx:pt>
          <cx:pt idx="47">Normal</cx:pt>
          <cx:pt idx="48">Normal</cx:pt>
          <cx:pt idx="49">Normal</cx:pt>
          <cx:pt idx="50">Normal</cx:pt>
          <cx:pt idx="51">High</cx:pt>
          <cx:pt idx="52">Normal</cx:pt>
          <cx:pt idx="53">High</cx:pt>
          <cx:pt idx="54">High</cx:pt>
          <cx:pt idx="55">Normal</cx:pt>
          <cx:pt idx="56">High</cx:pt>
          <cx:pt idx="57">High</cx:pt>
          <cx:pt idx="58">Normal</cx:pt>
          <cx:pt idx="59">Normal</cx:pt>
          <cx:pt idx="60">Normal</cx:pt>
          <cx:pt idx="61">Normal</cx:pt>
          <cx:pt idx="62">High</cx:pt>
          <cx:pt idx="63">High</cx:pt>
          <cx:pt idx="64">Normal</cx:pt>
          <cx:pt idx="65">Normal</cx:pt>
          <cx:pt idx="66">Normal</cx:pt>
          <cx:pt idx="67">Normal</cx:pt>
          <cx:pt idx="68">Normal</cx:pt>
          <cx:pt idx="69">High</cx:pt>
          <cx:pt idx="70">Normal</cx:pt>
          <cx:pt idx="71">Normal</cx:pt>
          <cx:pt idx="72">High</cx:pt>
          <cx:pt idx="73">Normal</cx:pt>
          <cx:pt idx="74">Normal</cx:pt>
          <cx:pt idx="75">High</cx:pt>
          <cx:pt idx="76">Normal</cx:pt>
          <cx:pt idx="77">Normal</cx:pt>
          <cx:pt idx="78">Normal</cx:pt>
          <cx:pt idx="79">High</cx:pt>
          <cx:pt idx="80">High</cx:pt>
          <cx:pt idx="81">Normal</cx:pt>
          <cx:pt idx="82">Normal</cx:pt>
          <cx:pt idx="83">High</cx:pt>
          <cx:pt idx="84">High</cx:pt>
          <cx:pt idx="85">Normal</cx:pt>
          <cx:pt idx="86">Normal</cx:pt>
          <cx:pt idx="87">Normal</cx:pt>
          <cx:pt idx="88">High</cx:pt>
          <cx:pt idx="89">Normal</cx:pt>
          <cx:pt idx="90">Normal</cx:pt>
          <cx:pt idx="91">Normal</cx:pt>
          <cx:pt idx="92">High</cx:pt>
          <cx:pt idx="93">High</cx:pt>
          <cx:pt idx="94">High</cx:pt>
          <cx:pt idx="95">Normal</cx:pt>
          <cx:pt idx="96">Normal</cx:pt>
          <cx:pt idx="97">Normal</cx:pt>
          <cx:pt idx="98">Normal</cx:pt>
          <cx:pt idx="99">High</cx:pt>
          <cx:pt idx="100">Normal</cx:pt>
          <cx:pt idx="101">Normal</cx:pt>
          <cx:pt idx="102">High</cx:pt>
          <cx:pt idx="103">Normal</cx:pt>
          <cx:pt idx="104">Normal</cx:pt>
          <cx:pt idx="105">Normal</cx:pt>
          <cx:pt idx="106">Normal</cx:pt>
          <cx:pt idx="107">Normal</cx:pt>
          <cx:pt idx="108">Normal</cx:pt>
          <cx:pt idx="109">Normal</cx:pt>
          <cx:pt idx="110">Normal</cx:pt>
          <cx:pt idx="111">Normal</cx:pt>
          <cx:pt idx="112">Normal</cx:pt>
          <cx:pt idx="113">Normal</cx:pt>
          <cx:pt idx="114">Normal</cx:pt>
          <cx:pt idx="115">Normal</cx:pt>
          <cx:pt idx="116">High</cx:pt>
          <cx:pt idx="117">High</cx:pt>
          <cx:pt idx="118">Normal</cx:pt>
          <cx:pt idx="119">Normal</cx:pt>
          <cx:pt idx="120">High</cx:pt>
          <cx:pt idx="121">Normal</cx:pt>
          <cx:pt idx="122">Normal</cx:pt>
          <cx:pt idx="123">Normal</cx:pt>
          <cx:pt idx="124">High</cx:pt>
          <cx:pt idx="125">Normal</cx:pt>
          <cx:pt idx="126">Normal</cx:pt>
          <cx:pt idx="127">High</cx:pt>
          <cx:pt idx="128">Normal</cx:pt>
          <cx:pt idx="129">Normal</cx:pt>
          <cx:pt idx="130">Normal</cx:pt>
          <cx:pt idx="131">Normal</cx:pt>
          <cx:pt idx="132">Normal</cx:pt>
          <cx:pt idx="133">Normal</cx:pt>
          <cx:pt idx="134">High</cx:pt>
          <cx:pt idx="135">Normal</cx:pt>
          <cx:pt idx="136">Normal</cx:pt>
          <cx:pt idx="137">High</cx:pt>
          <cx:pt idx="138">Normal</cx:pt>
          <cx:pt idx="139">Normal</cx:pt>
          <cx:pt idx="140">High</cx:pt>
          <cx:pt idx="141">Normal</cx:pt>
          <cx:pt idx="142">Normal</cx:pt>
          <cx:pt idx="143">Normal</cx:pt>
          <cx:pt idx="144">Normal</cx:pt>
          <cx:pt idx="145">Normal</cx:pt>
          <cx:pt idx="146">High</cx:pt>
          <cx:pt idx="147">Normal</cx:pt>
          <cx:pt idx="148">Normal</cx:pt>
          <cx:pt idx="149">Normal</cx:pt>
          <cx:pt idx="150">Normal</cx:pt>
          <cx:pt idx="151">Normal</cx:pt>
          <cx:pt idx="152">Normal</cx:pt>
          <cx:pt idx="153">Normal</cx:pt>
          <cx:pt idx="154">Normal</cx:pt>
          <cx:pt idx="155">Normal</cx:pt>
          <cx:pt idx="156">High</cx:pt>
          <cx:pt idx="157">Normal</cx:pt>
          <cx:pt idx="158">Normal</cx:pt>
          <cx:pt idx="159">Normal</cx:pt>
          <cx:pt idx="160">Normal</cx:pt>
          <cx:pt idx="161">Normal</cx:pt>
          <cx:pt idx="162">Normal</cx:pt>
          <cx:pt idx="163">Normal</cx:pt>
          <cx:pt idx="164">Normal</cx:pt>
          <cx:pt idx="165">Normal</cx:pt>
          <cx:pt idx="166">Normal</cx:pt>
          <cx:pt idx="167">High</cx:pt>
          <cx:pt idx="168">Normal</cx:pt>
          <cx:pt idx="169">Normal</cx:pt>
          <cx:pt idx="170">Normal</cx:pt>
          <cx:pt idx="171">Normal</cx:pt>
          <cx:pt idx="172">Normal</cx:pt>
          <cx:pt idx="173">Normal</cx:pt>
          <cx:pt idx="174">Normal</cx:pt>
          <cx:pt idx="175">Normal</cx:pt>
          <cx:pt idx="176">Normal</cx:pt>
          <cx:pt idx="177">Normal</cx:pt>
          <cx:pt idx="178">High</cx:pt>
          <cx:pt idx="179">Normal</cx:pt>
          <cx:pt idx="180">Normal</cx:pt>
          <cx:pt idx="181">Normal</cx:pt>
          <cx:pt idx="182">Normal</cx:pt>
          <cx:pt idx="183">Normal</cx:pt>
          <cx:pt idx="184">Normal</cx:pt>
          <cx:pt idx="185">Normal</cx:pt>
          <cx:pt idx="186">Normal</cx:pt>
          <cx:pt idx="187">Normal</cx:pt>
          <cx:pt idx="188">Normal</cx:pt>
          <cx:pt idx="189">High</cx:pt>
          <cx:pt idx="190">Normal</cx:pt>
          <cx:pt idx="191">Normal</cx:pt>
          <cx:pt idx="192">Normal</cx:pt>
          <cx:pt idx="193">Normal</cx:pt>
          <cx:pt idx="194">High</cx:pt>
          <cx:pt idx="195">High</cx:pt>
          <cx:pt idx="196">High</cx:pt>
          <cx:pt idx="197">High</cx:pt>
          <cx:pt idx="198">Normal</cx:pt>
          <cx:pt idx="199">High</cx:pt>
          <cx:pt idx="200">High</cx:pt>
          <cx:pt idx="201">Normal</cx:pt>
          <cx:pt idx="202">Normal</cx:pt>
          <cx:pt idx="203">Normal</cx:pt>
          <cx:pt idx="204">Normal</cx:pt>
          <cx:pt idx="205">Normal</cx:pt>
          <cx:pt idx="206">Normal</cx:pt>
          <cx:pt idx="207">Normal</cx:pt>
          <cx:pt idx="208">Normal</cx:pt>
          <cx:pt idx="209">Normal</cx:pt>
          <cx:pt idx="210">Normal</cx:pt>
          <cx:pt idx="211">High</cx:pt>
          <cx:pt idx="212">Normal</cx:pt>
          <cx:pt idx="213">Normal</cx:pt>
          <cx:pt idx="214">Normal</cx:pt>
          <cx:pt idx="215">Normal</cx:pt>
          <cx:pt idx="216">Normal</cx:pt>
          <cx:pt idx="217">Normal</cx:pt>
          <cx:pt idx="218">Normal</cx:pt>
          <cx:pt idx="219">Normal</cx:pt>
          <cx:pt idx="220">Normal</cx:pt>
          <cx:pt idx="221">Normal</cx:pt>
          <cx:pt idx="222">Normal</cx:pt>
          <cx:pt idx="223">Normal</cx:pt>
          <cx:pt idx="224">Normal</cx:pt>
          <cx:pt idx="225">Normal</cx:pt>
          <cx:pt idx="226">Normal</cx:pt>
          <cx:pt idx="227">Normal</cx:pt>
          <cx:pt idx="228">Normal</cx:pt>
          <cx:pt idx="229">High</cx:pt>
          <cx:pt idx="230">Normal</cx:pt>
          <cx:pt idx="231">Normal</cx:pt>
          <cx:pt idx="232">Normal</cx:pt>
          <cx:pt idx="233">Normal</cx:pt>
          <cx:pt idx="234">High</cx:pt>
          <cx:pt idx="235">Normal</cx:pt>
          <cx:pt idx="236">High</cx:pt>
        </cx:lvl>
      </cx:strDim>
      <cx:numDim type="val">
        <cx:f>'Blood Pressure - Histogram'!$C$2:$C$238</cx:f>
        <cx:lvl ptCount="237" formatCode="General">
          <cx:pt idx="0">1</cx:pt>
          <cx:pt idx="1">1</cx:pt>
          <cx:pt idx="2">1</cx:pt>
          <cx:pt idx="3">1</cx:pt>
          <cx:pt idx="4">1</cx:pt>
          <cx:pt idx="5">1</cx:pt>
          <cx:pt idx="6">1</cx:pt>
          <cx:pt idx="7">1</cx:pt>
          <cx:pt idx="8">1</cx:pt>
          <cx:pt idx="9">1</cx:pt>
          <cx:pt idx="10">1</cx:pt>
          <cx:pt idx="11">1</cx:pt>
          <cx:pt idx="12">1</cx:pt>
          <cx:pt idx="13">1</cx:pt>
          <cx:pt idx="14">1</cx:pt>
          <cx:pt idx="15">1</cx:pt>
          <cx:pt idx="16">1</cx:pt>
          <cx:pt idx="17">1</cx:pt>
          <cx:pt idx="18">1</cx:pt>
          <cx:pt idx="19">1</cx:pt>
          <cx:pt idx="20">1</cx:pt>
          <cx:pt idx="21">1</cx:pt>
          <cx:pt idx="22">1</cx:pt>
          <cx:pt idx="23">1</cx:pt>
          <cx:pt idx="24">1</cx:pt>
          <cx:pt idx="25">1</cx:pt>
          <cx:pt idx="26">1</cx:pt>
          <cx:pt idx="27">1</cx:pt>
          <cx:pt idx="28">1</cx:pt>
          <cx:pt idx="29">1</cx:pt>
          <cx:pt idx="30">1</cx:pt>
          <cx:pt idx="31">1</cx:pt>
          <cx:pt idx="32">1</cx:pt>
          <cx:pt idx="33">1</cx:pt>
          <cx:pt idx="34">1</cx:pt>
          <cx:pt idx="35">1</cx:pt>
          <cx:pt idx="36">1</cx:pt>
          <cx:pt idx="37">1</cx:pt>
          <cx:pt idx="38">1</cx:pt>
          <cx:pt idx="39">1</cx:pt>
          <cx:pt idx="40">1</cx:pt>
          <cx:pt idx="41">1</cx:pt>
          <cx:pt idx="42">1</cx:pt>
          <cx:pt idx="43">1</cx:pt>
          <cx:pt idx="44">1</cx:pt>
          <cx:pt idx="45">1</cx:pt>
          <cx:pt idx="46">1</cx:pt>
          <cx:pt idx="47">1</cx:pt>
          <cx:pt idx="48">1</cx:pt>
          <cx:pt idx="49">1</cx:pt>
          <cx:pt idx="50">1</cx:pt>
          <cx:pt idx="51">1</cx:pt>
          <cx:pt idx="52">1</cx:pt>
          <cx:pt idx="53">1</cx:pt>
          <cx:pt idx="54">1</cx:pt>
          <cx:pt idx="55">1</cx:pt>
          <cx:pt idx="56">1</cx:pt>
          <cx:pt idx="57">1</cx:pt>
          <cx:pt idx="58">1</cx:pt>
          <cx:pt idx="59">1</cx:pt>
          <cx:pt idx="60">1</cx:pt>
          <cx:pt idx="61">1</cx:pt>
          <cx:pt idx="62">1</cx:pt>
          <cx:pt idx="63">1</cx:pt>
          <cx:pt idx="64">1</cx:pt>
          <cx:pt idx="65">1</cx:pt>
          <cx:pt idx="66">1</cx:pt>
          <cx:pt idx="67">1</cx:pt>
          <cx:pt idx="68">1</cx:pt>
          <cx:pt idx="69">1</cx:pt>
          <cx:pt idx="70">1</cx:pt>
          <cx:pt idx="71">1</cx:pt>
          <cx:pt idx="72">1</cx:pt>
          <cx:pt idx="73">1</cx:pt>
          <cx:pt idx="74">1</cx:pt>
          <cx:pt idx="75">1</cx:pt>
          <cx:pt idx="76">1</cx:pt>
          <cx:pt idx="77">1</cx:pt>
          <cx:pt idx="78">1</cx:pt>
          <cx:pt idx="79">1</cx:pt>
          <cx:pt idx="80">1</cx:pt>
          <cx:pt idx="81">1</cx:pt>
          <cx:pt idx="82">1</cx:pt>
          <cx:pt idx="83">1</cx:pt>
          <cx:pt idx="84">1</cx:pt>
          <cx:pt idx="85">1</cx:pt>
          <cx:pt idx="86">1</cx:pt>
          <cx:pt idx="87">1</cx:pt>
          <cx:pt idx="88">1</cx:pt>
          <cx:pt idx="89">1</cx:pt>
          <cx:pt idx="90">1</cx:pt>
          <cx:pt idx="91">1</cx:pt>
          <cx:pt idx="92">1</cx:pt>
          <cx:pt idx="93">1</cx:pt>
          <cx:pt idx="94">1</cx:pt>
          <cx:pt idx="95">1</cx:pt>
          <cx:pt idx="96">1</cx:pt>
          <cx:pt idx="97">1</cx:pt>
          <cx:pt idx="98">1</cx:pt>
          <cx:pt idx="99">1</cx:pt>
          <cx:pt idx="100">1</cx:pt>
          <cx:pt idx="101">1</cx:pt>
          <cx:pt idx="102">1</cx:pt>
          <cx:pt idx="103">1</cx:pt>
          <cx:pt idx="104">1</cx:pt>
          <cx:pt idx="105">1</cx:pt>
          <cx:pt idx="106">1</cx:pt>
          <cx:pt idx="107">1</cx:pt>
          <cx:pt idx="108">1</cx:pt>
          <cx:pt idx="109">1</cx:pt>
          <cx:pt idx="110">1</cx:pt>
          <cx:pt idx="111">1</cx:pt>
          <cx:pt idx="112">1</cx:pt>
          <cx:pt idx="113">1</cx:pt>
          <cx:pt idx="114">1</cx:pt>
          <cx:pt idx="115">1</cx:pt>
          <cx:pt idx="116">1</cx:pt>
          <cx:pt idx="117">1</cx:pt>
          <cx:pt idx="118">1</cx:pt>
          <cx:pt idx="119">1</cx:pt>
          <cx:pt idx="120">1</cx:pt>
          <cx:pt idx="121">1</cx:pt>
          <cx:pt idx="122">1</cx:pt>
          <cx:pt idx="123">1</cx:pt>
          <cx:pt idx="124">1</cx:pt>
          <cx:pt idx="125">1</cx:pt>
          <cx:pt idx="126">1</cx:pt>
          <cx:pt idx="127">1</cx:pt>
          <cx:pt idx="128">1</cx:pt>
          <cx:pt idx="129">1</cx:pt>
          <cx:pt idx="130">1</cx:pt>
          <cx:pt idx="131">1</cx:pt>
          <cx:pt idx="132">1</cx:pt>
          <cx:pt idx="133">1</cx:pt>
          <cx:pt idx="134">1</cx:pt>
          <cx:pt idx="135">1</cx:pt>
          <cx:pt idx="136">1</cx:pt>
          <cx:pt idx="137">1</cx:pt>
          <cx:pt idx="138">1</cx:pt>
          <cx:pt idx="139">1</cx:pt>
          <cx:pt idx="140">1</cx:pt>
          <cx:pt idx="141">1</cx:pt>
          <cx:pt idx="142">1</cx:pt>
          <cx:pt idx="143">1</cx:pt>
          <cx:pt idx="144">1</cx:pt>
          <cx:pt idx="145">1</cx:pt>
          <cx:pt idx="146">1</cx:pt>
          <cx:pt idx="147">1</cx:pt>
          <cx:pt idx="148">1</cx:pt>
          <cx:pt idx="149">1</cx:pt>
          <cx:pt idx="150">1</cx:pt>
          <cx:pt idx="151">1</cx:pt>
          <cx:pt idx="152">1</cx:pt>
          <cx:pt idx="153">1</cx:pt>
          <cx:pt idx="154">1</cx:pt>
          <cx:pt idx="155">1</cx:pt>
          <cx:pt idx="156">1</cx:pt>
          <cx:pt idx="157">1</cx:pt>
          <cx:pt idx="158">1</cx:pt>
          <cx:pt idx="159">1</cx:pt>
          <cx:pt idx="160">1</cx:pt>
          <cx:pt idx="161">1</cx:pt>
          <cx:pt idx="162">1</cx:pt>
          <cx:pt idx="163">1</cx:pt>
          <cx:pt idx="164">1</cx:pt>
          <cx:pt idx="165">1</cx:pt>
          <cx:pt idx="166">1</cx:pt>
          <cx:pt idx="167">1</cx:pt>
          <cx:pt idx="168">1</cx:pt>
          <cx:pt idx="169">1</cx:pt>
          <cx:pt idx="170">1</cx:pt>
          <cx:pt idx="171">1</cx:pt>
          <cx:pt idx="172">1</cx:pt>
          <cx:pt idx="173">1</cx:pt>
          <cx:pt idx="174">1</cx:pt>
          <cx:pt idx="175">1</cx:pt>
          <cx:pt idx="176">1</cx:pt>
          <cx:pt idx="177">1</cx:pt>
          <cx:pt idx="178">1</cx:pt>
          <cx:pt idx="179">1</cx:pt>
          <cx:pt idx="180">1</cx:pt>
          <cx:pt idx="181">1</cx:pt>
          <cx:pt idx="182">1</cx:pt>
          <cx:pt idx="183">1</cx:pt>
          <cx:pt idx="184">1</cx:pt>
          <cx:pt idx="185">1</cx:pt>
          <cx:pt idx="186">1</cx:pt>
          <cx:pt idx="187">1</cx:pt>
          <cx:pt idx="188">1</cx:pt>
          <cx:pt idx="189">1</cx:pt>
          <cx:pt idx="190">1</cx:pt>
          <cx:pt idx="191">1</cx:pt>
          <cx:pt idx="192">1</cx:pt>
          <cx:pt idx="193">1</cx:pt>
          <cx:pt idx="194">1</cx:pt>
          <cx:pt idx="195">1</cx:pt>
          <cx:pt idx="196">1</cx:pt>
          <cx:pt idx="197">1</cx:pt>
          <cx:pt idx="198">1</cx:pt>
          <cx:pt idx="199">1</cx:pt>
          <cx:pt idx="200">1</cx:pt>
          <cx:pt idx="201">1</cx:pt>
          <cx:pt idx="202">1</cx:pt>
          <cx:pt idx="203">1</cx:pt>
          <cx:pt idx="204">1</cx:pt>
          <cx:pt idx="205">1</cx:pt>
          <cx:pt idx="206">1</cx:pt>
          <cx:pt idx="207">1</cx:pt>
          <cx:pt idx="208">1</cx:pt>
          <cx:pt idx="209">1</cx:pt>
          <cx:pt idx="210">1</cx:pt>
          <cx:pt idx="211">1</cx:pt>
          <cx:pt idx="212">1</cx:pt>
          <cx:pt idx="213">1</cx:pt>
          <cx:pt idx="214">1</cx:pt>
          <cx:pt idx="215">1</cx:pt>
          <cx:pt idx="216">1</cx:pt>
          <cx:pt idx="217">1</cx:pt>
          <cx:pt idx="218">1</cx:pt>
          <cx:pt idx="219">1</cx:pt>
          <cx:pt idx="220">1</cx:pt>
          <cx:pt idx="221">1</cx:pt>
          <cx:pt idx="222">1</cx:pt>
          <cx:pt idx="223">1</cx:pt>
          <cx:pt idx="224">1</cx:pt>
          <cx:pt idx="225">1</cx:pt>
          <cx:pt idx="226">1</cx:pt>
          <cx:pt idx="227">1</cx:pt>
          <cx:pt idx="228">1</cx:pt>
          <cx:pt idx="229">1</cx:pt>
          <cx:pt idx="230">1</cx:pt>
          <cx:pt idx="231">1</cx:pt>
          <cx:pt idx="232">1</cx:pt>
          <cx:pt idx="233">1</cx:pt>
          <cx:pt idx="234">1</cx:pt>
          <cx:pt idx="235">1</cx:pt>
          <cx:pt idx="236">1</cx:pt>
        </cx:lvl>
      </cx:numDim>
    </cx:data>
  </cx:chartData>
  <cx:chart>
    <cx:title pos="t" align="ctr" overlay="0">
      <cx:tx>
        <cx:rich>
          <a:bodyPr spcFirstLastPara="1" vertOverflow="ellipsis" wrap="square" lIns="0" tIns="0" rIns="0" bIns="0" anchor="ctr" anchorCtr="1"/>
          <a:lstStyle/>
          <a:p>
            <a:pPr algn="ctr">
              <a:defRPr/>
            </a:pPr>
            <a:r>
              <a:rPr lang="en-US"/>
              <a:t>Systolic Blood Pressure - Discretized</a:t>
            </a:r>
          </a:p>
          <a:p>
            <a:pPr algn="ctr">
              <a:defRPr/>
            </a:pPr>
            <a:r>
              <a:rPr lang="en-US"/>
              <a:t>High=0 (above 140), Normal=1 (below 139)</a:t>
            </a:r>
          </a:p>
        </cx:rich>
      </cx:tx>
    </cx:title>
    <cx:plotArea>
      <cx:plotAreaRegion>
        <cx:series layoutId="clusteredColumn" uniqueId="{056F24A5-9828-4A48-9D0E-08948389A33D}">
          <cx:dataLabels pos="inEnd">
            <cx:visibility seriesName="0" categoryName="0" value="1"/>
          </cx:dataLabels>
          <cx:dataId val="0"/>
          <cx:layoutPr>
            <cx:aggregation/>
          </cx:layoutPr>
        </cx:series>
      </cx:plotAreaRegion>
      <cx:axis id="0">
        <cx:catScaling gapWidth="0"/>
        <cx:tickLabels/>
      </cx:axis>
      <cx:axis id="1" hidden="1">
        <cx:valScaling/>
        <cx:majorGridlines/>
        <cx:tickLabels/>
      </cx:axis>
    </cx:plotArea>
  </cx:chart>
  <cx:clrMapOvr bg1="lt1" tx1="dk1" bg2="lt2" tx2="dk2" accent1="accent1" accent2="accent2" accent3="accent3" accent4="accent4" accent5="accent5" accent6="accent6" hlink="hlink" folHlink="folHlink"/>
</cx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6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baseline="0"/>
    <cs:bodyPr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/>
  </cs:dataLabel>
  <cs:dataLabelCallout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dk1">
          <a:lumMod val="65000"/>
          <a:lumOff val="35000"/>
          <a:alpha val="75000"/>
        </a:schemeClr>
      </a:solidFill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75000"/>
            <a:lumOff val="25000"/>
          </a:schemeClr>
        </a:solidFill>
      </a:ln>
    </cs:spPr>
    <cs:defRPr sz="900"/>
  </cs:dataTable>
  <cs:downBar>
    <cs:lnRef idx="0"/>
    <cs:fillRef idx="0"/>
    <cs:effectRef idx="0"/>
    <cs:fontRef idx="minor">
      <a:schemeClr val="dk1"/>
    </cs:fontRef>
    <cs:spPr>
      <a:solidFill>
        <a:schemeClr val="dk1"/>
      </a:solidFill>
    </cs:spPr>
  </cs:downBar>
  <cs:dropLine>
    <cs:lnRef idx="0"/>
    <cs:fillRef idx="0"/>
    <cs:effectRef idx="0"/>
    <cs:fontRef idx="minor">
      <a:schemeClr val="dk1"/>
    </cs:fontRef>
  </cs:dropLine>
  <cs:errorBar>
    <cs:lnRef idx="0"/>
    <cs:fillRef idx="0"/>
    <cs:effectRef idx="0"/>
    <cs:fontRef idx="minor">
      <a:schemeClr val="dk1"/>
    </cs:fontRef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  <a:lumOff val="10000"/>
              </a:schemeClr>
            </a:gs>
            <a:gs pos="0">
              <a:schemeClr val="lt1">
                <a:lumMod val="75000"/>
                <a:alpha val="36000"/>
                <a:lumOff val="10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</cs:hiLoLine>
  <cs:leaderLine>
    <cs:lnRef idx="0"/>
    <cs:fillRef idx="0"/>
    <cs:effectRef idx="0"/>
    <cs:fontRef idx="minor">
      <a:schemeClr val="dk1"/>
    </cs:fontRef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/>
    <cs:bodyPr/>
  </cs:seriesAxis>
  <cs:seriesLine>
    <cs:lnRef idx="0"/>
    <cs:fillRef idx="0"/>
    <cs:effectRef idx="0"/>
    <cs:fontRef idx="minor">
      <a:schemeClr val="dk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  <cs:bodyPr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  <cs:bodyPr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36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baseline="0"/>
    <cs:bodyPr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/>
  </cs:dataLabel>
  <cs:dataLabelCallout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dk1">
          <a:lumMod val="65000"/>
          <a:lumOff val="35000"/>
          <a:alpha val="75000"/>
        </a:schemeClr>
      </a:solidFill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75000"/>
            <a:lumOff val="25000"/>
          </a:schemeClr>
        </a:solidFill>
      </a:ln>
    </cs:spPr>
    <cs:defRPr sz="900"/>
  </cs:dataTable>
  <cs:downBar>
    <cs:lnRef idx="0"/>
    <cs:fillRef idx="0"/>
    <cs:effectRef idx="0"/>
    <cs:fontRef idx="minor">
      <a:schemeClr val="dk1"/>
    </cs:fontRef>
    <cs:spPr>
      <a:solidFill>
        <a:schemeClr val="dk1"/>
      </a:solidFill>
    </cs:spPr>
  </cs:downBar>
  <cs:dropLine>
    <cs:lnRef idx="0"/>
    <cs:fillRef idx="0"/>
    <cs:effectRef idx="0"/>
    <cs:fontRef idx="minor">
      <a:schemeClr val="dk1"/>
    </cs:fontRef>
  </cs:dropLine>
  <cs:errorBar>
    <cs:lnRef idx="0"/>
    <cs:fillRef idx="0"/>
    <cs:effectRef idx="0"/>
    <cs:fontRef idx="minor">
      <a:schemeClr val="dk1"/>
    </cs:fontRef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  <a:lumOff val="10000"/>
              </a:schemeClr>
            </a:gs>
            <a:gs pos="0">
              <a:schemeClr val="lt1">
                <a:lumMod val="75000"/>
                <a:alpha val="36000"/>
                <a:lumOff val="10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</cs:hiLoLine>
  <cs:leaderLine>
    <cs:lnRef idx="0"/>
    <cs:fillRef idx="0"/>
    <cs:effectRef idx="0"/>
    <cs:fontRef idx="minor">
      <a:schemeClr val="dk1"/>
    </cs:fontRef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/>
    <cs:bodyPr/>
  </cs:seriesAxis>
  <cs:seriesLine>
    <cs:lnRef idx="0"/>
    <cs:fillRef idx="0"/>
    <cs:effectRef idx="0"/>
    <cs:fontRef idx="minor">
      <a:schemeClr val="dk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  <cs:bodyPr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  <cs:bodyPr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36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baseline="0"/>
    <cs:bodyPr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/>
  </cs:dataLabel>
  <cs:dataLabelCallout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dk1">
          <a:lumMod val="65000"/>
          <a:lumOff val="35000"/>
          <a:alpha val="75000"/>
        </a:schemeClr>
      </a:solidFill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75000"/>
            <a:lumOff val="25000"/>
          </a:schemeClr>
        </a:solidFill>
      </a:ln>
    </cs:spPr>
    <cs:defRPr sz="900"/>
  </cs:dataTable>
  <cs:downBar>
    <cs:lnRef idx="0"/>
    <cs:fillRef idx="0"/>
    <cs:effectRef idx="0"/>
    <cs:fontRef idx="minor">
      <a:schemeClr val="dk1"/>
    </cs:fontRef>
    <cs:spPr>
      <a:solidFill>
        <a:schemeClr val="dk1"/>
      </a:solidFill>
    </cs:spPr>
  </cs:downBar>
  <cs:dropLine>
    <cs:lnRef idx="0"/>
    <cs:fillRef idx="0"/>
    <cs:effectRef idx="0"/>
    <cs:fontRef idx="minor">
      <a:schemeClr val="dk1"/>
    </cs:fontRef>
  </cs:dropLine>
  <cs:errorBar>
    <cs:lnRef idx="0"/>
    <cs:fillRef idx="0"/>
    <cs:effectRef idx="0"/>
    <cs:fontRef idx="minor">
      <a:schemeClr val="dk1"/>
    </cs:fontRef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  <a:lumOff val="10000"/>
              </a:schemeClr>
            </a:gs>
            <a:gs pos="0">
              <a:schemeClr val="lt1">
                <a:lumMod val="75000"/>
                <a:alpha val="36000"/>
                <a:lumOff val="10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</cs:hiLoLine>
  <cs:leaderLine>
    <cs:lnRef idx="0"/>
    <cs:fillRef idx="0"/>
    <cs:effectRef idx="0"/>
    <cs:fontRef idx="minor">
      <a:schemeClr val="dk1"/>
    </cs:fontRef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/>
    <cs:bodyPr/>
  </cs:seriesAxis>
  <cs:seriesLine>
    <cs:lnRef idx="0"/>
    <cs:fillRef idx="0"/>
    <cs:effectRef idx="0"/>
    <cs:fontRef idx="minor">
      <a:schemeClr val="dk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  <cs:bodyPr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  <cs:bodyPr/>
  </cs:valueAxis>
  <cs:wall>
    <cs:lnRef idx="0"/>
    <cs:fillRef idx="0"/>
    <cs:effectRef idx="0"/>
    <cs:fontRef idx="minor">
      <a:schemeClr val="dk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36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baseline="0"/>
    <cs:bodyPr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/>
  </cs:dataLabel>
  <cs:dataLabelCallout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dk1">
          <a:lumMod val="65000"/>
          <a:lumOff val="35000"/>
          <a:alpha val="75000"/>
        </a:schemeClr>
      </a:solidFill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75000"/>
            <a:lumOff val="25000"/>
          </a:schemeClr>
        </a:solidFill>
      </a:ln>
    </cs:spPr>
    <cs:defRPr sz="900"/>
  </cs:dataTable>
  <cs:downBar>
    <cs:lnRef idx="0"/>
    <cs:fillRef idx="0"/>
    <cs:effectRef idx="0"/>
    <cs:fontRef idx="minor">
      <a:schemeClr val="dk1"/>
    </cs:fontRef>
    <cs:spPr>
      <a:solidFill>
        <a:schemeClr val="dk1"/>
      </a:solidFill>
    </cs:spPr>
  </cs:downBar>
  <cs:dropLine>
    <cs:lnRef idx="0"/>
    <cs:fillRef idx="0"/>
    <cs:effectRef idx="0"/>
    <cs:fontRef idx="minor">
      <a:schemeClr val="dk1"/>
    </cs:fontRef>
  </cs:dropLine>
  <cs:errorBar>
    <cs:lnRef idx="0"/>
    <cs:fillRef idx="0"/>
    <cs:effectRef idx="0"/>
    <cs:fontRef idx="minor">
      <a:schemeClr val="dk1"/>
    </cs:fontRef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  <a:lumOff val="10000"/>
              </a:schemeClr>
            </a:gs>
            <a:gs pos="0">
              <a:schemeClr val="lt1">
                <a:lumMod val="75000"/>
                <a:alpha val="36000"/>
                <a:lumOff val="10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</cs:hiLoLine>
  <cs:leaderLine>
    <cs:lnRef idx="0"/>
    <cs:fillRef idx="0"/>
    <cs:effectRef idx="0"/>
    <cs:fontRef idx="minor">
      <a:schemeClr val="dk1"/>
    </cs:fontRef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/>
    <cs:bodyPr/>
  </cs:seriesAxis>
  <cs:seriesLine>
    <cs:lnRef idx="0"/>
    <cs:fillRef idx="0"/>
    <cs:effectRef idx="0"/>
    <cs:fontRef idx="minor">
      <a:schemeClr val="dk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  <cs:bodyPr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  <cs:bodyPr/>
  </cs:valueAxis>
  <cs:wall>
    <cs:lnRef idx="0"/>
    <cs:fillRef idx="0"/>
    <cs:effectRef idx="0"/>
    <cs:fontRef idx="minor">
      <a:schemeClr val="dk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36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baseline="0"/>
    <cs:bodyPr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/>
  </cs:dataLabel>
  <cs:dataLabelCallout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dk1">
          <a:lumMod val="65000"/>
          <a:lumOff val="35000"/>
          <a:alpha val="75000"/>
        </a:schemeClr>
      </a:solidFill>
    </cs:spPr>
    <cs:defRPr sz="9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75000"/>
            <a:lumOff val="25000"/>
          </a:schemeClr>
        </a:solidFill>
      </a:ln>
    </cs:spPr>
    <cs:defRPr sz="900"/>
  </cs:dataTable>
  <cs:downBar>
    <cs:lnRef idx="0"/>
    <cs:fillRef idx="0"/>
    <cs:effectRef idx="0"/>
    <cs:fontRef idx="minor">
      <a:schemeClr val="dk1"/>
    </cs:fontRef>
    <cs:spPr>
      <a:solidFill>
        <a:schemeClr val="dk1"/>
      </a:solidFill>
    </cs:spPr>
  </cs:downBar>
  <cs:dropLine>
    <cs:lnRef idx="0"/>
    <cs:fillRef idx="0"/>
    <cs:effectRef idx="0"/>
    <cs:fontRef idx="minor">
      <a:schemeClr val="dk1"/>
    </cs:fontRef>
  </cs:dropLine>
  <cs:errorBar>
    <cs:lnRef idx="0"/>
    <cs:fillRef idx="0"/>
    <cs:effectRef idx="0"/>
    <cs:fontRef idx="minor">
      <a:schemeClr val="dk1"/>
    </cs:fontRef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  <a:lumOff val="10000"/>
              </a:schemeClr>
            </a:gs>
            <a:gs pos="0">
              <a:schemeClr val="lt1">
                <a:lumMod val="75000"/>
                <a:alpha val="36000"/>
                <a:lumOff val="10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</cs:hiLoLine>
  <cs:leaderLine>
    <cs:lnRef idx="0"/>
    <cs:fillRef idx="0"/>
    <cs:effectRef idx="0"/>
    <cs:fontRef idx="minor">
      <a:schemeClr val="dk1"/>
    </cs:fontRef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/>
    <cs:bodyPr/>
  </cs:seriesAxis>
  <cs:seriesLine>
    <cs:lnRef idx="0"/>
    <cs:fillRef idx="0"/>
    <cs:effectRef idx="0"/>
    <cs:fontRef idx="minor">
      <a:schemeClr val="dk1"/>
    </cs:fontRef>
    <cs:spPr>
      <a:ln w="9525" cap="flat">
        <a:solidFill>
          <a:srgbClr val="D9D9D9"/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  <cs:bodyPr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  <cs:bodyPr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5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</dc:creator>
  <cp:keywords/>
  <dc:description/>
  <cp:lastModifiedBy>Mark</cp:lastModifiedBy>
  <cp:revision>1</cp:revision>
  <dcterms:created xsi:type="dcterms:W3CDTF">2015-11-09T01:56:00Z</dcterms:created>
  <dcterms:modified xsi:type="dcterms:W3CDTF">2015-11-09T05:20:00Z</dcterms:modified>
</cp:coreProperties>
</file>