
<file path=[Content_Types].xml><?xml version="1.0" encoding="utf-8"?>
<Types xmlns="http://schemas.openxmlformats.org/package/2006/content-types">
  <Default Extension="png" ContentType="image/pn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44C3B" w:rsidRPr="001E10E8" w:rsidRDefault="001E10E8" w:rsidP="00310929">
      <w:pPr>
        <w:pStyle w:val="NormalWeb"/>
        <w:spacing w:before="0" w:beforeAutospacing="0" w:after="0" w:afterAutospacing="0" w:line="480" w:lineRule="auto"/>
        <w:jc w:val="center"/>
        <w:rPr>
          <w:rFonts w:ascii="Calibri" w:hAnsi="Calibri" w:cs="Calibri"/>
          <w:sz w:val="22"/>
          <w:szCs w:val="22"/>
          <w:u w:val="single"/>
        </w:rPr>
      </w:pPr>
      <w:r w:rsidRPr="001E10E8">
        <w:rPr>
          <w:rFonts w:ascii="Calibri" w:hAnsi="Calibri" w:cs="Calibri"/>
          <w:sz w:val="22"/>
          <w:szCs w:val="22"/>
          <w:u w:val="single"/>
        </w:rPr>
        <w:t>Methods</w:t>
      </w:r>
    </w:p>
    <w:p w:rsidR="001E10E8" w:rsidRDefault="001E10E8" w:rsidP="00F8787A">
      <w:pPr>
        <w:pStyle w:val="NormalWeb"/>
        <w:spacing w:before="0" w:beforeAutospacing="0" w:after="0" w:afterAutospacing="0" w:line="480" w:lineRule="auto"/>
        <w:rPr>
          <w:rFonts w:ascii="Calibri" w:hAnsi="Calibri" w:cs="Calibri"/>
          <w:sz w:val="22"/>
          <w:szCs w:val="22"/>
        </w:rPr>
      </w:pPr>
      <w:r w:rsidRPr="001E10E8">
        <w:rPr>
          <w:rFonts w:ascii="Calibri" w:hAnsi="Calibri" w:cs="Calibri"/>
          <w:i/>
          <w:sz w:val="22"/>
          <w:szCs w:val="22"/>
        </w:rPr>
        <w:t>Datasets</w:t>
      </w:r>
      <w:r>
        <w:rPr>
          <w:rFonts w:ascii="Calibri" w:hAnsi="Calibri" w:cs="Calibri"/>
          <w:sz w:val="22"/>
          <w:szCs w:val="22"/>
        </w:rPr>
        <w:t>:</w:t>
      </w:r>
    </w:p>
    <w:p w:rsidR="00351DE7" w:rsidRDefault="00293962" w:rsidP="00E25680">
      <w:pPr>
        <w:pStyle w:val="NormalWeb"/>
        <w:spacing w:before="0" w:beforeAutospacing="0" w:after="0" w:afterAutospacing="0" w:line="480" w:lineRule="auto"/>
        <w:ind w:firstLine="720"/>
        <w:rPr>
          <w:rFonts w:ascii="Calibri" w:hAnsi="Calibri" w:cs="Calibri"/>
          <w:sz w:val="22"/>
          <w:szCs w:val="22"/>
        </w:rPr>
      </w:pPr>
      <w:r w:rsidRPr="00293962">
        <w:rPr>
          <w:rFonts w:ascii="Calibri" w:hAnsi="Calibri" w:cs="Calibri"/>
          <w:sz w:val="22"/>
          <w:szCs w:val="22"/>
        </w:rPr>
        <w:t xml:space="preserve">The Gene Expression Omnibus (GEO) was created by the National Center for Biotechnology Information (NCBI) as a database open to the public for high throughput gene expression and hybridization experiments for a variety of diseases (Edgar et al., 2002). </w:t>
      </w:r>
      <w:r w:rsidR="001E10E8">
        <w:rPr>
          <w:rFonts w:ascii="Calibri" w:hAnsi="Calibri" w:cs="Calibri"/>
          <w:sz w:val="22"/>
          <w:szCs w:val="22"/>
        </w:rPr>
        <w:t>Datasets were obtained from the NCBI’s</w:t>
      </w:r>
      <w:r w:rsidR="004F11F7">
        <w:rPr>
          <w:rFonts w:ascii="Calibri" w:hAnsi="Calibri" w:cs="Calibri"/>
          <w:sz w:val="22"/>
          <w:szCs w:val="22"/>
        </w:rPr>
        <w:t xml:space="preserve"> GEO database. </w:t>
      </w:r>
      <w:commentRangeStart w:id="0"/>
      <w:r w:rsidR="004F11F7">
        <w:rPr>
          <w:rFonts w:ascii="Calibri" w:hAnsi="Calibri" w:cs="Calibri"/>
          <w:sz w:val="22"/>
          <w:szCs w:val="22"/>
        </w:rPr>
        <w:t>Datasets</w:t>
      </w:r>
      <w:commentRangeEnd w:id="0"/>
      <w:r w:rsidR="004F11F7">
        <w:rPr>
          <w:rStyle w:val="CommentReference"/>
          <w:rFonts w:asciiTheme="minorHAnsi" w:eastAsiaTheme="minorHAnsi" w:hAnsiTheme="minorHAnsi" w:cstheme="minorBidi"/>
        </w:rPr>
        <w:commentReference w:id="0"/>
      </w:r>
      <w:r w:rsidR="004F11F7">
        <w:rPr>
          <w:rFonts w:ascii="Calibri" w:hAnsi="Calibri" w:cs="Calibri"/>
          <w:sz w:val="22"/>
          <w:szCs w:val="22"/>
        </w:rPr>
        <w:t xml:space="preserve"> collected for this study included </w:t>
      </w:r>
      <w:r w:rsidR="00351DE7">
        <w:rPr>
          <w:rFonts w:ascii="Calibri" w:hAnsi="Calibri" w:cs="Calibri"/>
          <w:sz w:val="22"/>
          <w:szCs w:val="22"/>
        </w:rPr>
        <w:t xml:space="preserve">were from gene expression profiling microarray studies using </w:t>
      </w:r>
      <w:r w:rsidR="004F11F7">
        <w:rPr>
          <w:rFonts w:ascii="Calibri" w:hAnsi="Calibri" w:cs="Calibri"/>
          <w:sz w:val="22"/>
          <w:szCs w:val="22"/>
        </w:rPr>
        <w:t xml:space="preserve">post-mortem samples that indicated AD status, brain region of the tissue sample, age and biological sex </w:t>
      </w:r>
      <w:r w:rsidR="00351DE7">
        <w:rPr>
          <w:rFonts w:ascii="Calibri" w:hAnsi="Calibri" w:cs="Calibri"/>
          <w:sz w:val="22"/>
          <w:szCs w:val="22"/>
        </w:rPr>
        <w:t xml:space="preserve">of the subject. </w:t>
      </w:r>
    </w:p>
    <w:p w:rsidR="00351DE7" w:rsidRDefault="00351DE7" w:rsidP="00E25680">
      <w:pPr>
        <w:pStyle w:val="NormalWeb"/>
        <w:spacing w:before="0" w:beforeAutospacing="0" w:after="0" w:afterAutospacing="0" w:line="480" w:lineRule="auto"/>
        <w:ind w:firstLine="720"/>
        <w:rPr>
          <w:rFonts w:ascii="Calibri" w:hAnsi="Calibri" w:cs="Calibri"/>
          <w:sz w:val="22"/>
          <w:szCs w:val="22"/>
        </w:rPr>
      </w:pPr>
      <w:r>
        <w:rPr>
          <w:rFonts w:ascii="Calibri" w:hAnsi="Calibri" w:cs="Calibri"/>
          <w:sz w:val="22"/>
          <w:szCs w:val="22"/>
        </w:rPr>
        <w:t xml:space="preserve">The gene expression data for </w:t>
      </w:r>
      <w:commentRangeStart w:id="1"/>
      <w:r>
        <w:rPr>
          <w:rFonts w:ascii="Calibri" w:hAnsi="Calibri" w:cs="Calibri"/>
          <w:sz w:val="22"/>
          <w:szCs w:val="22"/>
        </w:rPr>
        <w:t xml:space="preserve">APOE, APP, PSEN1, and PSEN2 </w:t>
      </w:r>
      <w:commentRangeEnd w:id="1"/>
      <w:r>
        <w:rPr>
          <w:rStyle w:val="CommentReference"/>
          <w:rFonts w:asciiTheme="minorHAnsi" w:eastAsiaTheme="minorHAnsi" w:hAnsiTheme="minorHAnsi" w:cstheme="minorBidi"/>
        </w:rPr>
        <w:commentReference w:id="1"/>
      </w:r>
      <w:r>
        <w:rPr>
          <w:rFonts w:ascii="Calibri" w:hAnsi="Calibri" w:cs="Calibri"/>
          <w:sz w:val="22"/>
          <w:szCs w:val="22"/>
        </w:rPr>
        <w:t>were normalized using z-scores then categorized as Low (z-score&lt;-1), Normal (-1&lt;z-score&lt;1), or High (z-score&gt;1) gene expression levels.</w:t>
      </w:r>
      <w:r w:rsidR="00BF47C2">
        <w:rPr>
          <w:rFonts w:ascii="Calibri" w:hAnsi="Calibri" w:cs="Calibri"/>
          <w:sz w:val="22"/>
          <w:szCs w:val="22"/>
        </w:rPr>
        <w:t xml:space="preserve"> </w:t>
      </w:r>
      <w:r w:rsidR="00F8787A">
        <w:rPr>
          <w:rFonts w:ascii="Calibri" w:hAnsi="Calibri" w:cs="Calibri"/>
          <w:sz w:val="22"/>
          <w:szCs w:val="22"/>
        </w:rPr>
        <w:t>AD status for samples was simplified to either AD or Non-AD. Because the hippocampus is important for memory and is frequently cited as the brain region most severely affected by AD, brain regions from the datasets were categorized as either Hippocampus or Non-Hippocampus.</w:t>
      </w:r>
      <w:r w:rsidR="00E25680">
        <w:rPr>
          <w:rFonts w:ascii="Calibri" w:hAnsi="Calibri" w:cs="Calibri"/>
          <w:sz w:val="22"/>
          <w:szCs w:val="22"/>
        </w:rPr>
        <w:t xml:space="preserve"> Ages were categorized as Age&gt;65 or Age ≤65. </w:t>
      </w:r>
    </w:p>
    <w:p w:rsidR="00E25680" w:rsidRPr="00E25680" w:rsidRDefault="00E25680" w:rsidP="00E25680">
      <w:pPr>
        <w:pStyle w:val="NormalWeb"/>
        <w:spacing w:before="0" w:beforeAutospacing="0" w:after="0" w:afterAutospacing="0" w:line="480" w:lineRule="auto"/>
        <w:rPr>
          <w:rFonts w:ascii="Calibri" w:hAnsi="Calibri" w:cs="Calibri"/>
          <w:i/>
          <w:sz w:val="22"/>
          <w:szCs w:val="22"/>
        </w:rPr>
      </w:pPr>
      <w:r>
        <w:rPr>
          <w:rFonts w:ascii="Calibri" w:hAnsi="Calibri" w:cs="Calibri"/>
          <w:i/>
          <w:sz w:val="22"/>
          <w:szCs w:val="22"/>
        </w:rPr>
        <w:t xml:space="preserve">Analysis: </w:t>
      </w:r>
    </w:p>
    <w:p w:rsidR="00D4214E" w:rsidRDefault="000D0DE3" w:rsidP="000D0DE3">
      <w:pPr>
        <w:spacing w:after="0" w:line="480" w:lineRule="auto"/>
        <w:ind w:firstLine="720"/>
        <w:rPr>
          <w:rFonts w:eastAsiaTheme="minorEastAsia"/>
        </w:rPr>
      </w:pPr>
      <w:r>
        <w:rPr>
          <w:rFonts w:ascii="Calibri" w:hAnsi="Calibri" w:cs="Calibri"/>
        </w:rPr>
        <w:t xml:space="preserve">The data was analyzed using Bayesian Networks. </w:t>
      </w:r>
      <w:r w:rsidRPr="000D0DE3">
        <w:rPr>
          <w:rFonts w:eastAsiaTheme="minorEastAsia"/>
        </w:rPr>
        <w:t xml:space="preserve">Bayesian Networks are a system-based approach in analyzing large datasets. Results are in the form of directed acyclic graphs where the nodes represent variables of interest, and the variables hold different states. In this study, </w:t>
      </w:r>
      <w:r w:rsidR="00D4214E">
        <w:rPr>
          <w:rFonts w:eastAsiaTheme="minorEastAsia"/>
        </w:rPr>
        <w:t xml:space="preserve">different states of the </w:t>
      </w:r>
      <w:r w:rsidRPr="000D0DE3">
        <w:rPr>
          <w:rFonts w:eastAsiaTheme="minorEastAsia"/>
        </w:rPr>
        <w:t xml:space="preserve">variables represent </w:t>
      </w:r>
      <w:r>
        <w:rPr>
          <w:rFonts w:eastAsiaTheme="minorEastAsia"/>
        </w:rPr>
        <w:t xml:space="preserve">the different categories </w:t>
      </w:r>
      <w:r w:rsidR="00D4214E">
        <w:rPr>
          <w:rFonts w:eastAsiaTheme="minorEastAsia"/>
        </w:rPr>
        <w:t>of gene expression, AD status, Brain Region, and Age</w:t>
      </w:r>
      <w:r w:rsidRPr="000D0DE3">
        <w:rPr>
          <w:rFonts w:eastAsiaTheme="minorEastAsia"/>
        </w:rPr>
        <w:t xml:space="preserve">. </w:t>
      </w:r>
    </w:p>
    <w:p w:rsidR="000D0DE3" w:rsidRPr="000D0DE3" w:rsidRDefault="000D0DE3" w:rsidP="000D0DE3">
      <w:pPr>
        <w:spacing w:after="0" w:line="480" w:lineRule="auto"/>
        <w:ind w:firstLine="720"/>
        <w:rPr>
          <w:rFonts w:eastAsiaTheme="minorEastAsia"/>
        </w:rPr>
      </w:pPr>
      <w:r w:rsidRPr="000D0DE3">
        <w:rPr>
          <w:rFonts w:eastAsiaTheme="minorEastAsia"/>
        </w:rPr>
        <w:t xml:space="preserve">The relationships between the nodes are represented by arcs, and probabilities that further describe these relationships are assigned to these nodes based off the joint distributions of the nodes' parents. The connections of these nodes allow us to deduce relationships between nodes that are not directly connected to each other. There are three basic connections between these </w:t>
      </w:r>
      <w:proofErr w:type="spellStart"/>
      <w:r w:rsidRPr="000D0DE3">
        <w:rPr>
          <w:rFonts w:eastAsiaTheme="minorEastAsia"/>
        </w:rPr>
        <w:t>nodes</w:t>
      </w:r>
      <w:proofErr w:type="spellEnd"/>
      <w:r w:rsidRPr="000D0DE3">
        <w:rPr>
          <w:rFonts w:eastAsiaTheme="minorEastAsia"/>
        </w:rPr>
        <w:t xml:space="preserve">:  </w:t>
      </w:r>
    </w:p>
    <w:p w:rsidR="000D0DE3" w:rsidRDefault="000D0DE3" w:rsidP="000D0DE3">
      <w:pPr>
        <w:spacing w:after="0" w:line="480" w:lineRule="auto"/>
        <w:ind w:firstLine="720"/>
        <w:rPr>
          <w:rFonts w:eastAsiaTheme="minorEastAsia"/>
        </w:rPr>
      </w:pPr>
      <w:r w:rsidRPr="07C49E62">
        <w:rPr>
          <w:rFonts w:eastAsiaTheme="minorEastAsia"/>
        </w:rPr>
        <w:lastRenderedPageBreak/>
        <w:t xml:space="preserve">Serial connections show the chain of variables that lead to a certain state. Given no evidence, all these nodes influence each other. However, when the state of a middle node is known, the nodes above and below that node are now independent of each other. </w:t>
      </w:r>
    </w:p>
    <w:p w:rsidR="00661FBE" w:rsidRDefault="000D0DE3" w:rsidP="000D0DE3">
      <w:pPr>
        <w:spacing w:after="0" w:line="480" w:lineRule="auto"/>
        <w:ind w:firstLine="720"/>
        <w:rPr>
          <w:rFonts w:eastAsiaTheme="minorEastAsia"/>
        </w:rPr>
      </w:pPr>
      <w:r w:rsidRPr="07C49E62">
        <w:rPr>
          <w:rFonts w:eastAsiaTheme="minorEastAsia"/>
        </w:rPr>
        <w:t xml:space="preserve">Diverging connections show how one node influences the effect two or more other nodes. Given evidence on the affected nodes or no evidence on the node where the diversion occurs, the children nodes influence and are connected to each other. However, given information on the node where the diversion occurs, the children of those nodes are independent of each other. This relationship is useful in distinguishing the difference between the causes of one node's state from other nodes that are also a result of a shared cause.  </w:t>
      </w:r>
    </w:p>
    <w:p w:rsidR="000A597B" w:rsidRDefault="000D0DE3" w:rsidP="000A597B">
      <w:pPr>
        <w:spacing w:after="0" w:line="480" w:lineRule="auto"/>
        <w:ind w:firstLine="720"/>
        <w:rPr>
          <w:rFonts w:eastAsiaTheme="minorEastAsia"/>
        </w:rPr>
      </w:pPr>
      <w:r w:rsidRPr="07C49E62">
        <w:rPr>
          <w:rFonts w:eastAsiaTheme="minorEastAsia"/>
        </w:rPr>
        <w:t>Converging connections demonstrate how several nodes cause or influence a common node. Without information on the common node, these nodes are independent fro</w:t>
      </w:r>
      <w:r w:rsidR="000A597B">
        <w:rPr>
          <w:rFonts w:eastAsiaTheme="minorEastAsia"/>
        </w:rPr>
        <w:t>m each other (</w:t>
      </w:r>
      <w:proofErr w:type="spellStart"/>
      <w:r w:rsidR="000A597B">
        <w:rPr>
          <w:rFonts w:eastAsiaTheme="minorEastAsia"/>
        </w:rPr>
        <w:t>Charniak</w:t>
      </w:r>
      <w:proofErr w:type="spellEnd"/>
      <w:r w:rsidR="000A597B">
        <w:rPr>
          <w:rFonts w:eastAsiaTheme="minorEastAsia"/>
        </w:rPr>
        <w:t xml:space="preserve">, 1991). </w:t>
      </w:r>
    </w:p>
    <w:p w:rsidR="000A597B" w:rsidRPr="000A597B" w:rsidRDefault="000A597B" w:rsidP="000A597B">
      <w:pPr>
        <w:spacing w:after="0" w:line="480" w:lineRule="auto"/>
        <w:ind w:firstLine="720"/>
        <w:rPr>
          <w:rFonts w:eastAsiaTheme="minorEastAsia"/>
        </w:rPr>
      </w:pPr>
      <w:proofErr w:type="spellStart"/>
      <w:r w:rsidRPr="000A597B">
        <w:rPr>
          <w:rFonts w:eastAsiaTheme="minorEastAsia"/>
        </w:rPr>
        <w:t>Bene</w:t>
      </w:r>
      <w:proofErr w:type="spellEnd"/>
      <w:r w:rsidRPr="000A597B">
        <w:rPr>
          <w:rFonts w:eastAsiaTheme="minorEastAsia"/>
        </w:rPr>
        <w:t xml:space="preserve"> is </w:t>
      </w:r>
      <w:proofErr w:type="gramStart"/>
      <w:r w:rsidRPr="000A597B">
        <w:rPr>
          <w:rFonts w:eastAsiaTheme="minorEastAsia"/>
        </w:rPr>
        <w:t>a software</w:t>
      </w:r>
      <w:proofErr w:type="gramEnd"/>
      <w:r w:rsidRPr="000A597B">
        <w:rPr>
          <w:rFonts w:eastAsiaTheme="minorEastAsia"/>
        </w:rPr>
        <w:t xml:space="preserve"> that searches for the BN structure that provides the highest likelihood of the data using </w:t>
      </w:r>
      <w:commentRangeStart w:id="2"/>
      <w:proofErr w:type="spellStart"/>
      <w:r w:rsidRPr="000A597B">
        <w:rPr>
          <w:rFonts w:eastAsiaTheme="minorEastAsia"/>
        </w:rPr>
        <w:t>BDe</w:t>
      </w:r>
      <w:proofErr w:type="spellEnd"/>
      <w:r w:rsidRPr="000A597B">
        <w:rPr>
          <w:rFonts w:eastAsiaTheme="minorEastAsia"/>
        </w:rPr>
        <w:t xml:space="preserve"> scoring. </w:t>
      </w:r>
      <w:commentRangeEnd w:id="2"/>
      <w:r w:rsidRPr="000A597B">
        <w:rPr>
          <w:rFonts w:eastAsiaTheme="minorEastAsia"/>
        </w:rPr>
        <w:commentReference w:id="2"/>
      </w:r>
      <w:r w:rsidRPr="000A597B">
        <w:rPr>
          <w:rFonts w:eastAsiaTheme="minorEastAsia"/>
        </w:rPr>
        <w:t>(. The output graph is the structure that provides the highest likelihood of observing the data that was inputted (</w:t>
      </w:r>
      <w:proofErr w:type="spellStart"/>
      <w:r w:rsidRPr="000A597B">
        <w:rPr>
          <w:rFonts w:eastAsiaTheme="minorEastAsia"/>
        </w:rPr>
        <w:t>Silander</w:t>
      </w:r>
      <w:proofErr w:type="spellEnd"/>
      <w:r w:rsidRPr="000A597B">
        <w:rPr>
          <w:rFonts w:eastAsiaTheme="minorEastAsia"/>
        </w:rPr>
        <w:t>, 2014). It provides an order of how the variables relate to each other, which can be useful in finding out the causal relationships between variables (</w:t>
      </w:r>
      <w:proofErr w:type="spellStart"/>
      <w:r w:rsidRPr="000A597B">
        <w:rPr>
          <w:rFonts w:eastAsiaTheme="minorEastAsia"/>
        </w:rPr>
        <w:t>Silander</w:t>
      </w:r>
      <w:proofErr w:type="spellEnd"/>
      <w:r w:rsidRPr="000A597B">
        <w:rPr>
          <w:rFonts w:eastAsiaTheme="minorEastAsia"/>
        </w:rPr>
        <w:t xml:space="preserve"> and </w:t>
      </w:r>
      <w:proofErr w:type="spellStart"/>
      <w:r w:rsidRPr="000A597B">
        <w:rPr>
          <w:rFonts w:eastAsiaTheme="minorEastAsia"/>
        </w:rPr>
        <w:t>Myllymaki</w:t>
      </w:r>
      <w:proofErr w:type="spellEnd"/>
      <w:r w:rsidRPr="000A597B">
        <w:rPr>
          <w:rFonts w:eastAsiaTheme="minorEastAsia"/>
        </w:rPr>
        <w:t>, 2012). This Global Maximum Likelihood Structure (GMLS) structure is usually a fully connected network since the input data rarely demonstrates true independent variables. This fully connected graph tends to over fit the data (</w:t>
      </w:r>
      <w:proofErr w:type="spellStart"/>
      <w:r w:rsidRPr="000A597B">
        <w:rPr>
          <w:rFonts w:eastAsiaTheme="minorEastAsia"/>
        </w:rPr>
        <w:t>Koller</w:t>
      </w:r>
      <w:proofErr w:type="spellEnd"/>
      <w:r w:rsidRPr="000A597B">
        <w:rPr>
          <w:rFonts w:eastAsiaTheme="minorEastAsia"/>
        </w:rPr>
        <w:t xml:space="preserve"> and Friedman, 2009). </w:t>
      </w:r>
    </w:p>
    <w:p w:rsidR="00DC6719" w:rsidRDefault="000A597B" w:rsidP="00DC6719">
      <w:pPr>
        <w:spacing w:after="0" w:line="480" w:lineRule="auto"/>
        <w:ind w:firstLine="720"/>
        <w:rPr>
          <w:rFonts w:eastAsiaTheme="minorEastAsia"/>
        </w:rPr>
      </w:pPr>
      <w:r w:rsidRPr="000A597B">
        <w:rPr>
          <w:rFonts w:eastAsiaTheme="minorEastAsia"/>
        </w:rPr>
        <w:t>Additional mechanisms must be employed to prevent overly complicated structures.</w:t>
      </w:r>
      <w:r>
        <w:rPr>
          <w:rFonts w:eastAsiaTheme="minorEastAsia"/>
        </w:rPr>
        <w:t xml:space="preserve"> Age, Sex, and Brain Region </w:t>
      </w:r>
      <w:r w:rsidR="000567E8">
        <w:rPr>
          <w:rFonts w:eastAsiaTheme="minorEastAsia"/>
        </w:rPr>
        <w:t xml:space="preserve">were </w:t>
      </w:r>
      <w:r>
        <w:rPr>
          <w:rFonts w:eastAsiaTheme="minorEastAsia"/>
        </w:rPr>
        <w:t xml:space="preserve">treated as confounding variables to AD and </w:t>
      </w:r>
      <w:r w:rsidR="000567E8">
        <w:rPr>
          <w:rFonts w:eastAsiaTheme="minorEastAsia"/>
        </w:rPr>
        <w:t>the genes of interest while the other relationships obtained from the GMLS were maintained. The likelihood of this Confounding Structure will be compared to the GMLS.</w:t>
      </w:r>
      <w:r w:rsidR="00DC6719">
        <w:rPr>
          <w:rFonts w:eastAsiaTheme="minorEastAsia"/>
        </w:rPr>
        <w:t xml:space="preserve"> </w:t>
      </w:r>
    </w:p>
    <w:p w:rsidR="004F5CCE" w:rsidRDefault="00DC6719" w:rsidP="000D0DE3">
      <w:pPr>
        <w:spacing w:after="0" w:line="480" w:lineRule="auto"/>
        <w:ind w:firstLine="720"/>
        <w:rPr>
          <w:rFonts w:eastAsiaTheme="minorEastAsia"/>
        </w:rPr>
        <w:sectPr w:rsidR="004F5CCE" w:rsidSect="00D01076">
          <w:pgSz w:w="12240" w:h="15840"/>
          <w:pgMar w:top="1440" w:right="1440" w:bottom="1440" w:left="1440" w:header="720" w:footer="720" w:gutter="0"/>
          <w:cols w:space="720"/>
          <w:docGrid w:linePitch="360"/>
        </w:sectPr>
      </w:pPr>
      <w:r>
        <w:rPr>
          <w:rFonts w:eastAsiaTheme="minorEastAsia"/>
        </w:rPr>
        <w:lastRenderedPageBreak/>
        <w:t xml:space="preserve">These structures were further analyzed using </w:t>
      </w:r>
      <w:proofErr w:type="spellStart"/>
      <w:r>
        <w:rPr>
          <w:rFonts w:eastAsiaTheme="minorEastAsia"/>
        </w:rPr>
        <w:t>GeNIe</w:t>
      </w:r>
      <w:proofErr w:type="spellEnd"/>
      <w:r>
        <w:rPr>
          <w:rFonts w:eastAsiaTheme="minorEastAsia"/>
        </w:rPr>
        <w:t xml:space="preserve"> </w:t>
      </w:r>
      <w:proofErr w:type="gramStart"/>
      <w:r>
        <w:rPr>
          <w:rFonts w:eastAsiaTheme="minorEastAsia"/>
        </w:rPr>
        <w:t>2.1 ,</w:t>
      </w:r>
      <w:proofErr w:type="gramEnd"/>
      <w:r>
        <w:rPr>
          <w:rFonts w:eastAsiaTheme="minorEastAsia"/>
        </w:rPr>
        <w:t xml:space="preserve"> a sof</w:t>
      </w:r>
      <w:r w:rsidR="00BD1F7D">
        <w:rPr>
          <w:rFonts w:eastAsiaTheme="minorEastAsia"/>
        </w:rPr>
        <w:t xml:space="preserve">tware that allows analysis, </w:t>
      </w:r>
      <w:r>
        <w:rPr>
          <w:rFonts w:eastAsiaTheme="minorEastAsia"/>
        </w:rPr>
        <w:t>manipulation</w:t>
      </w:r>
      <w:r w:rsidR="00BD1F7D">
        <w:rPr>
          <w:rFonts w:eastAsiaTheme="minorEastAsia"/>
        </w:rPr>
        <w:t>, and validation</w:t>
      </w:r>
      <w:r>
        <w:rPr>
          <w:rFonts w:eastAsiaTheme="minorEastAsia"/>
        </w:rPr>
        <w:t xml:space="preserve"> of </w:t>
      </w:r>
      <w:r w:rsidR="00BD1F7D">
        <w:rPr>
          <w:rFonts w:eastAsiaTheme="minorEastAsia"/>
        </w:rPr>
        <w:t xml:space="preserve">BN structures. The accuracy of the Confounding Structure and the GMLS will be analyzed using simple validation tests, leaving one out tests, 4-fold cross validation tests, and ROC curves. </w:t>
      </w:r>
    </w:p>
    <w:p w:rsidR="004F5CCE" w:rsidRDefault="003F39BF" w:rsidP="00EB093C">
      <w:pPr>
        <w:pStyle w:val="NormalWeb"/>
        <w:spacing w:before="0" w:beforeAutospacing="0" w:after="0" w:afterAutospacing="0" w:line="480" w:lineRule="auto"/>
        <w:ind w:firstLine="720"/>
        <w:jc w:val="center"/>
        <w:rPr>
          <w:rFonts w:ascii="Calibri" w:hAnsi="Calibri" w:cs="Calibri"/>
          <w:sz w:val="22"/>
          <w:szCs w:val="22"/>
        </w:rPr>
        <w:sectPr w:rsidR="004F5CCE" w:rsidSect="004F5CCE">
          <w:pgSz w:w="15840" w:h="12240" w:orient="landscape"/>
          <w:pgMar w:top="1440" w:right="1440" w:bottom="1440" w:left="1440" w:header="720" w:footer="720" w:gutter="0"/>
          <w:cols w:space="720"/>
          <w:docGrid w:linePitch="360"/>
        </w:sectPr>
      </w:pPr>
      <w:r w:rsidRPr="002B5CA4">
        <w:rPr>
          <w:rFonts w:eastAsiaTheme="minorEastAsia"/>
          <w:noProof/>
          <w:lang w:eastAsia="zh-TW"/>
        </w:rPr>
        <w:lastRenderedPageBreak/>
        <w:pict>
          <v:shapetype id="_x0000_t202" coordsize="21600,21600" o:spt="202" path="m,l,21600r21600,l21600,xe">
            <v:stroke joinstyle="miter"/>
            <v:path gradientshapeok="t" o:connecttype="rect"/>
          </v:shapetype>
          <v:shape id="_x0000_s1026" type="#_x0000_t202" style="position:absolute;left:0;text-align:left;margin-left:-23.55pt;margin-top:73.4pt;width:209.75pt;height:337pt;z-index:-251656192;mso-height-percent:200;mso-position-horizontal-relative:margin;mso-position-vertical-relative:margin;mso-height-percent:200;mso-width-relative:margin;mso-height-relative:margin" wrapcoords="-87 -67 -87 21533 21687 21533 21687 -67 -87 -67">
            <v:textbox style="mso-next-textbox:#_x0000_s1026;mso-fit-shape-to-text:t">
              <w:txbxContent>
                <w:p w:rsidR="00D4214E" w:rsidRDefault="00D4214E" w:rsidP="00D4214E">
                  <w:pPr>
                    <w:jc w:val="center"/>
                  </w:pPr>
                  <w:r>
                    <w:t>Figure 1: Example of a Serial Connection</w:t>
                  </w:r>
                </w:p>
                <w:p w:rsidR="00D4214E" w:rsidRDefault="00D4214E" w:rsidP="00D4214E">
                  <w:pPr>
                    <w:jc w:val="center"/>
                  </w:pPr>
                  <w:r w:rsidRPr="00D4214E">
                    <w:rPr>
                      <w:noProof/>
                    </w:rPr>
                    <w:drawing>
                      <wp:inline distT="0" distB="0" distL="0" distR="0">
                        <wp:extent cx="1362075" cy="19716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srcRect t="9050"/>
                                <a:stretch>
                                  <a:fillRect/>
                                </a:stretch>
                              </pic:blipFill>
                              <pic:spPr bwMode="auto">
                                <a:xfrm>
                                  <a:off x="0" y="0"/>
                                  <a:ext cx="1358265" cy="1971040"/>
                                </a:xfrm>
                                <a:prstGeom prst="rect">
                                  <a:avLst/>
                                </a:prstGeom>
                                <a:noFill/>
                                <a:ln w="9525">
                                  <a:noFill/>
                                  <a:miter lim="800000"/>
                                  <a:headEnd/>
                                  <a:tailEnd/>
                                </a:ln>
                              </pic:spPr>
                            </pic:pic>
                          </a:graphicData>
                        </a:graphic>
                      </wp:inline>
                    </w:drawing>
                  </w:r>
                </w:p>
                <w:p w:rsidR="00D4214E" w:rsidRPr="00310929" w:rsidRDefault="00D4214E">
                  <w:pPr>
                    <w:rPr>
                      <w:sz w:val="18"/>
                    </w:rPr>
                  </w:pPr>
                  <w:r w:rsidRPr="00310929">
                    <w:rPr>
                      <w:sz w:val="18"/>
                    </w:rPr>
                    <w:t xml:space="preserve">In this example, given no evidence, all the variables are dependent on each other. Each of the probabilities of High, Normal, and Low gene expression of lower nodes are dependent on the </w:t>
                  </w:r>
                  <w:r w:rsidR="00310929" w:rsidRPr="00310929">
                    <w:rPr>
                      <w:sz w:val="18"/>
                    </w:rPr>
                    <w:t xml:space="preserve">distribution of High, Normal, and Low gene expression of the node directly above it. The state of PSEN1 expression influences the states of PSEN2, APP, and APOE. However, if evidence is provided on the state of PSEN2, the states of APP and APOE are now independent of PSEN1. </w:t>
                  </w:r>
                </w:p>
              </w:txbxContent>
            </v:textbox>
            <w10:wrap type="square" anchorx="margin" anchory="margin"/>
          </v:shape>
        </w:pict>
      </w:r>
      <w:r w:rsidR="002B5CA4" w:rsidRPr="002B5CA4">
        <w:rPr>
          <w:rFonts w:eastAsiaTheme="minorEastAsia"/>
          <w:noProof/>
        </w:rPr>
        <w:pict>
          <v:shape id="_x0000_s1027" type="#_x0000_t202" style="position:absolute;left:0;text-align:left;margin-left:185.15pt;margin-top:73.4pt;width:229.5pt;height:337.4pt;z-index:-251655168;mso-position-horizontal-relative:margin;mso-position-vertical-relative:margin;mso-width-relative:margin;mso-height-relative:margin" wrapcoords="-87 -67 -87 21533 21687 21533 21687 -67 -87 -67">
            <v:textbox style="mso-next-textbox:#_x0000_s1027">
              <w:txbxContent>
                <w:p w:rsidR="002B3909" w:rsidRDefault="002B3909" w:rsidP="002B3909">
                  <w:pPr>
                    <w:jc w:val="center"/>
                  </w:pPr>
                  <w:r>
                    <w:t>Figure 2: Example of a Diverging Connection</w:t>
                  </w:r>
                </w:p>
                <w:p w:rsidR="002B3909" w:rsidRDefault="002B3909" w:rsidP="002B3909">
                  <w:pPr>
                    <w:jc w:val="center"/>
                  </w:pPr>
                  <w:r w:rsidRPr="002B3909">
                    <w:rPr>
                      <w:noProof/>
                    </w:rPr>
                    <w:drawing>
                      <wp:inline distT="0" distB="0" distL="0" distR="0">
                        <wp:extent cx="2171700" cy="1094340"/>
                        <wp:effectExtent l="1905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 cstate="print"/>
                                <a:srcRect l="19173"/>
                                <a:stretch>
                                  <a:fillRect/>
                                </a:stretch>
                              </pic:blipFill>
                              <pic:spPr bwMode="auto">
                                <a:xfrm>
                                  <a:off x="0" y="0"/>
                                  <a:ext cx="2165278" cy="1091104"/>
                                </a:xfrm>
                                <a:prstGeom prst="rect">
                                  <a:avLst/>
                                </a:prstGeom>
                                <a:noFill/>
                                <a:ln w="9525">
                                  <a:noFill/>
                                  <a:miter lim="800000"/>
                                  <a:headEnd/>
                                  <a:tailEnd/>
                                </a:ln>
                              </pic:spPr>
                            </pic:pic>
                          </a:graphicData>
                        </a:graphic>
                      </wp:inline>
                    </w:drawing>
                  </w:r>
                </w:p>
                <w:p w:rsidR="002B3909" w:rsidRPr="00310929" w:rsidRDefault="002B3909" w:rsidP="002B3909">
                  <w:pPr>
                    <w:rPr>
                      <w:sz w:val="18"/>
                    </w:rPr>
                  </w:pPr>
                  <w:r w:rsidRPr="00310929">
                    <w:rPr>
                      <w:sz w:val="18"/>
                    </w:rPr>
                    <w:t xml:space="preserve">In this example, given no evidence, all the variables are dependent on each other. Each of </w:t>
                  </w:r>
                  <w:r w:rsidR="000A597B">
                    <w:rPr>
                      <w:sz w:val="18"/>
                    </w:rPr>
                    <w:t>states of Age, PSEN1, and APP are dependent on the state of the Alzheimer node</w:t>
                  </w:r>
                  <w:r w:rsidRPr="00310929">
                    <w:rPr>
                      <w:sz w:val="18"/>
                    </w:rPr>
                    <w:t xml:space="preserve"> However, if evidence is provided on the state of </w:t>
                  </w:r>
                  <w:r w:rsidR="000A597B">
                    <w:rPr>
                      <w:sz w:val="18"/>
                    </w:rPr>
                    <w:t>Alzheimer</w:t>
                  </w:r>
                  <w:r w:rsidRPr="00310929">
                    <w:rPr>
                      <w:sz w:val="18"/>
                    </w:rPr>
                    <w:t>, the states of</w:t>
                  </w:r>
                  <w:r w:rsidR="000A597B">
                    <w:rPr>
                      <w:sz w:val="18"/>
                    </w:rPr>
                    <w:t xml:space="preserve"> Age, PSEN1, and APP are independent of each other. </w:t>
                  </w:r>
                  <w:r w:rsidRPr="00310929">
                    <w:rPr>
                      <w:sz w:val="18"/>
                    </w:rPr>
                    <w:t xml:space="preserve"> </w:t>
                  </w:r>
                </w:p>
              </w:txbxContent>
            </v:textbox>
            <w10:wrap type="square" anchorx="margin" anchory="margin"/>
          </v:shape>
        </w:pict>
      </w:r>
      <w:r w:rsidR="002B5CA4" w:rsidRPr="002B5CA4">
        <w:rPr>
          <w:rFonts w:eastAsiaTheme="minorEastAsia"/>
          <w:noProof/>
        </w:rPr>
        <w:pict>
          <v:shape id="_x0000_s1028" type="#_x0000_t202" style="position:absolute;left:0;text-align:left;margin-left:414.25pt;margin-top:73.4pt;width:215.6pt;height:337.4pt;z-index:-251654144;mso-position-horizontal-relative:margin;mso-position-vertical-relative:margin;mso-width-relative:margin;mso-height-relative:margin" wrapcoords="-87 -67 -87 21533 21687 21533 21687 -67 -87 -67">
            <v:textbox style="mso-next-textbox:#_x0000_s1028">
              <w:txbxContent>
                <w:p w:rsidR="00661FBE" w:rsidRDefault="00814708" w:rsidP="00661FBE">
                  <w:pPr>
                    <w:jc w:val="center"/>
                  </w:pPr>
                  <w:r>
                    <w:t>Figure 3</w:t>
                  </w:r>
                  <w:r w:rsidR="00661FBE">
                    <w:t>: Example of a Diverging Connection</w:t>
                  </w:r>
                </w:p>
                <w:p w:rsidR="00661FBE" w:rsidRDefault="00661FBE" w:rsidP="00661FBE">
                  <w:pPr>
                    <w:jc w:val="center"/>
                  </w:pPr>
                  <w:r w:rsidRPr="00661FBE">
                    <w:rPr>
                      <w:noProof/>
                    </w:rPr>
                    <w:drawing>
                      <wp:inline distT="0" distB="0" distL="0" distR="0">
                        <wp:extent cx="2437402" cy="1104900"/>
                        <wp:effectExtent l="19050" t="0" r="998"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cstate="print"/>
                                <a:srcRect/>
                                <a:stretch>
                                  <a:fillRect/>
                                </a:stretch>
                              </pic:blipFill>
                              <pic:spPr bwMode="auto">
                                <a:xfrm>
                                  <a:off x="0" y="0"/>
                                  <a:ext cx="2427393" cy="1100363"/>
                                </a:xfrm>
                                <a:prstGeom prst="rect">
                                  <a:avLst/>
                                </a:prstGeom>
                                <a:noFill/>
                                <a:ln w="9525">
                                  <a:noFill/>
                                  <a:miter lim="800000"/>
                                  <a:headEnd/>
                                  <a:tailEnd/>
                                </a:ln>
                              </pic:spPr>
                            </pic:pic>
                          </a:graphicData>
                        </a:graphic>
                      </wp:inline>
                    </w:drawing>
                  </w:r>
                </w:p>
                <w:p w:rsidR="00661FBE" w:rsidRPr="00310929" w:rsidRDefault="00661FBE" w:rsidP="00661FBE">
                  <w:pPr>
                    <w:rPr>
                      <w:sz w:val="18"/>
                    </w:rPr>
                  </w:pPr>
                  <w:r w:rsidRPr="00310929">
                    <w:rPr>
                      <w:sz w:val="18"/>
                    </w:rPr>
                    <w:t xml:space="preserve">In this example, given no evidence, </w:t>
                  </w:r>
                  <w:r w:rsidR="00814708">
                    <w:rPr>
                      <w:sz w:val="18"/>
                    </w:rPr>
                    <w:t xml:space="preserve">APOE, PSEN2, and PSEN1 </w:t>
                  </w:r>
                  <w:r w:rsidRPr="00310929">
                    <w:rPr>
                      <w:sz w:val="18"/>
                    </w:rPr>
                    <w:t xml:space="preserve">are </w:t>
                  </w:r>
                  <w:r w:rsidR="00814708">
                    <w:rPr>
                      <w:sz w:val="18"/>
                    </w:rPr>
                    <w:t>in</w:t>
                  </w:r>
                  <w:r w:rsidRPr="00310929">
                    <w:rPr>
                      <w:sz w:val="18"/>
                    </w:rPr>
                    <w:t xml:space="preserve">dependent on each other. </w:t>
                  </w:r>
                  <w:r w:rsidR="00814708">
                    <w:rPr>
                      <w:sz w:val="18"/>
                    </w:rPr>
                    <w:t>The</w:t>
                  </w:r>
                  <w:r w:rsidRPr="00310929">
                    <w:rPr>
                      <w:sz w:val="18"/>
                    </w:rPr>
                    <w:t xml:space="preserve"> probabilities of High, Normal, and Low gene expression</w:t>
                  </w:r>
                  <w:r w:rsidR="00814708">
                    <w:rPr>
                      <w:sz w:val="18"/>
                    </w:rPr>
                    <w:t>s</w:t>
                  </w:r>
                  <w:r w:rsidRPr="00310929">
                    <w:rPr>
                      <w:sz w:val="18"/>
                    </w:rPr>
                    <w:t xml:space="preserve"> </w:t>
                  </w:r>
                  <w:r w:rsidR="00814708">
                    <w:rPr>
                      <w:sz w:val="18"/>
                    </w:rPr>
                    <w:t xml:space="preserve">of APP </w:t>
                  </w:r>
                  <w:r w:rsidRPr="00310929">
                    <w:rPr>
                      <w:sz w:val="18"/>
                    </w:rPr>
                    <w:t>are</w:t>
                  </w:r>
                  <w:r w:rsidR="00814708">
                    <w:rPr>
                      <w:sz w:val="18"/>
                    </w:rPr>
                    <w:t xml:space="preserve"> dependent on the different combinations</w:t>
                  </w:r>
                  <w:r w:rsidRPr="00310929">
                    <w:rPr>
                      <w:sz w:val="18"/>
                    </w:rPr>
                    <w:t xml:space="preserve"> of High, Normal, and Low gene expression of</w:t>
                  </w:r>
                  <w:r w:rsidR="00814708">
                    <w:rPr>
                      <w:sz w:val="18"/>
                    </w:rPr>
                    <w:t xml:space="preserve"> </w:t>
                  </w:r>
                  <w:r w:rsidR="00814708" w:rsidRPr="00814708">
                    <w:rPr>
                      <w:sz w:val="18"/>
                    </w:rPr>
                    <w:t>APOE, PSEN2, and PSEN1</w:t>
                  </w:r>
                  <w:r w:rsidRPr="00310929">
                    <w:rPr>
                      <w:sz w:val="18"/>
                    </w:rPr>
                    <w:t xml:space="preserve">. However, if evidence is provided on the state of </w:t>
                  </w:r>
                  <w:r w:rsidR="00814708">
                    <w:rPr>
                      <w:sz w:val="18"/>
                    </w:rPr>
                    <w:t>APP</w:t>
                  </w:r>
                  <w:r w:rsidRPr="00310929">
                    <w:rPr>
                      <w:sz w:val="18"/>
                    </w:rPr>
                    <w:t>, the states of APOE</w:t>
                  </w:r>
                  <w:r w:rsidR="00814708">
                    <w:rPr>
                      <w:sz w:val="18"/>
                    </w:rPr>
                    <w:t>, PSEN2, and PSEN1</w:t>
                  </w:r>
                  <w:r w:rsidRPr="00310929">
                    <w:rPr>
                      <w:sz w:val="18"/>
                    </w:rPr>
                    <w:t xml:space="preserve"> </w:t>
                  </w:r>
                  <w:proofErr w:type="gramStart"/>
                  <w:r w:rsidR="00814708">
                    <w:rPr>
                      <w:sz w:val="18"/>
                    </w:rPr>
                    <w:t>now  influence</w:t>
                  </w:r>
                  <w:proofErr w:type="gramEnd"/>
                  <w:r w:rsidR="00814708">
                    <w:rPr>
                      <w:sz w:val="18"/>
                    </w:rPr>
                    <w:t xml:space="preserve"> each other</w:t>
                  </w:r>
                  <w:r w:rsidRPr="00310929">
                    <w:rPr>
                      <w:sz w:val="18"/>
                    </w:rPr>
                    <w:t xml:space="preserve">. </w:t>
                  </w:r>
                </w:p>
              </w:txbxContent>
            </v:textbox>
            <w10:wrap type="square" anchorx="margin" anchory="margin"/>
          </v:shape>
        </w:pict>
      </w:r>
      <w:r w:rsidR="00661FBE">
        <w:rPr>
          <w:rFonts w:ascii="Calibri" w:hAnsi="Calibri" w:cs="Calibri"/>
          <w:sz w:val="22"/>
          <w:szCs w:val="22"/>
        </w:rPr>
        <w:t xml:space="preserve">Comparison of Relationships in </w:t>
      </w:r>
      <w:r w:rsidR="00814708">
        <w:rPr>
          <w:rFonts w:ascii="Calibri" w:hAnsi="Calibri" w:cs="Calibri"/>
          <w:sz w:val="22"/>
          <w:szCs w:val="22"/>
        </w:rPr>
        <w:t>Bayesian</w:t>
      </w:r>
      <w:r w:rsidR="00EB093C">
        <w:rPr>
          <w:rFonts w:ascii="Calibri" w:hAnsi="Calibri" w:cs="Calibri"/>
          <w:sz w:val="22"/>
          <w:szCs w:val="22"/>
        </w:rPr>
        <w:t xml:space="preserve"> Networks</w:t>
      </w:r>
    </w:p>
    <w:p w:rsidR="00D01076" w:rsidRDefault="00D01076" w:rsidP="00EB093C">
      <w:pPr>
        <w:pStyle w:val="NormalWeb"/>
        <w:spacing w:before="0" w:beforeAutospacing="0" w:after="0" w:afterAutospacing="0" w:line="480" w:lineRule="auto"/>
        <w:ind w:firstLine="720"/>
        <w:jc w:val="center"/>
      </w:pPr>
    </w:p>
    <w:sectPr w:rsidR="00D01076" w:rsidSect="00D01076">
      <w:pgSz w:w="12240" w:h="15840"/>
      <w:pgMar w:top="1440" w:right="1440" w:bottom="1440" w:left="1440" w:header="720" w:footer="720" w:gutter="0"/>
      <w:cols w:space="720"/>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dlau_000" w:date="2017-02-25T14:46:00Z" w:initials="s">
    <w:p w:rsidR="004F11F7" w:rsidRDefault="004F11F7">
      <w:pPr>
        <w:pStyle w:val="CommentText"/>
      </w:pPr>
      <w:r>
        <w:rPr>
          <w:rStyle w:val="CommentReference"/>
        </w:rPr>
        <w:annotationRef/>
      </w:r>
      <w:r>
        <w:t xml:space="preserve">Should I include the table with a descriptions of the datasets here or in the results section? </w:t>
      </w:r>
    </w:p>
  </w:comment>
  <w:comment w:id="1" w:author="sdlau_000" w:date="2017-02-25T14:55:00Z" w:initials="s">
    <w:p w:rsidR="00351DE7" w:rsidRDefault="00351DE7">
      <w:pPr>
        <w:pStyle w:val="CommentText"/>
      </w:pPr>
      <w:r>
        <w:rPr>
          <w:rStyle w:val="CommentReference"/>
        </w:rPr>
        <w:annotationRef/>
      </w:r>
      <w:r>
        <w:t xml:space="preserve">Do I describe how I used Access to match probe IDs to gene names? </w:t>
      </w:r>
    </w:p>
  </w:comment>
  <w:comment w:id="2" w:author="sdlau_000" w:date="2017-02-25T21:40:00Z" w:initials="s">
    <w:p w:rsidR="000A597B" w:rsidRDefault="000A597B" w:rsidP="000A597B">
      <w:pPr>
        <w:pStyle w:val="CommentText"/>
      </w:pPr>
      <w:r>
        <w:rPr>
          <w:rStyle w:val="CommentReference"/>
        </w:rPr>
        <w:annotationRef/>
      </w:r>
      <w:r>
        <w:t xml:space="preserve">Should I expand on this? If so, how much? </w:t>
      </w:r>
    </w:p>
  </w:comment>
</w:comment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01146F7"/>
    <w:multiLevelType w:val="hybridMultilevel"/>
    <w:tmpl w:val="8C7CFE8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20"/>
  <w:drawingGridHorizontalSpacing w:val="110"/>
  <w:displayHorizontalDrawingGridEvery w:val="2"/>
  <w:characterSpacingControl w:val="doNotCompress"/>
  <w:compat/>
  <w:rsids>
    <w:rsidRoot w:val="005D248A"/>
    <w:rsid w:val="000567E8"/>
    <w:rsid w:val="000A597B"/>
    <w:rsid w:val="000D0DE3"/>
    <w:rsid w:val="00180048"/>
    <w:rsid w:val="001E10E8"/>
    <w:rsid w:val="00293962"/>
    <w:rsid w:val="002B3909"/>
    <w:rsid w:val="002B5CA4"/>
    <w:rsid w:val="002F2051"/>
    <w:rsid w:val="00310929"/>
    <w:rsid w:val="00323E1D"/>
    <w:rsid w:val="00351DE7"/>
    <w:rsid w:val="003F39BF"/>
    <w:rsid w:val="004F11F7"/>
    <w:rsid w:val="004F5CCE"/>
    <w:rsid w:val="005427D2"/>
    <w:rsid w:val="00544C3B"/>
    <w:rsid w:val="005D248A"/>
    <w:rsid w:val="00661FBE"/>
    <w:rsid w:val="00812014"/>
    <w:rsid w:val="00814708"/>
    <w:rsid w:val="008906C3"/>
    <w:rsid w:val="009A414B"/>
    <w:rsid w:val="009E761C"/>
    <w:rsid w:val="00BD1F7D"/>
    <w:rsid w:val="00BF47C2"/>
    <w:rsid w:val="00D01076"/>
    <w:rsid w:val="00D4214E"/>
    <w:rsid w:val="00DC6719"/>
    <w:rsid w:val="00E25680"/>
    <w:rsid w:val="00EB093C"/>
    <w:rsid w:val="00F05252"/>
    <w:rsid w:val="00F279DE"/>
    <w:rsid w:val="00F8787A"/>
    <w:rsid w:val="00FF648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01076"/>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F279DE"/>
    <w:pPr>
      <w:spacing w:before="100" w:beforeAutospacing="1" w:after="100" w:afterAutospacing="1" w:line="240" w:lineRule="auto"/>
    </w:pPr>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4F11F7"/>
    <w:rPr>
      <w:sz w:val="16"/>
      <w:szCs w:val="16"/>
    </w:rPr>
  </w:style>
  <w:style w:type="paragraph" w:styleId="CommentText">
    <w:name w:val="annotation text"/>
    <w:basedOn w:val="Normal"/>
    <w:link w:val="CommentTextChar"/>
    <w:uiPriority w:val="99"/>
    <w:semiHidden/>
    <w:unhideWhenUsed/>
    <w:rsid w:val="004F11F7"/>
    <w:pPr>
      <w:spacing w:line="240" w:lineRule="auto"/>
    </w:pPr>
    <w:rPr>
      <w:sz w:val="20"/>
      <w:szCs w:val="20"/>
    </w:rPr>
  </w:style>
  <w:style w:type="character" w:customStyle="1" w:styleId="CommentTextChar">
    <w:name w:val="Comment Text Char"/>
    <w:basedOn w:val="DefaultParagraphFont"/>
    <w:link w:val="CommentText"/>
    <w:uiPriority w:val="99"/>
    <w:semiHidden/>
    <w:rsid w:val="004F11F7"/>
    <w:rPr>
      <w:sz w:val="20"/>
      <w:szCs w:val="20"/>
    </w:rPr>
  </w:style>
  <w:style w:type="paragraph" w:styleId="CommentSubject">
    <w:name w:val="annotation subject"/>
    <w:basedOn w:val="CommentText"/>
    <w:next w:val="CommentText"/>
    <w:link w:val="CommentSubjectChar"/>
    <w:uiPriority w:val="99"/>
    <w:semiHidden/>
    <w:unhideWhenUsed/>
    <w:rsid w:val="004F11F7"/>
    <w:rPr>
      <w:b/>
      <w:bCs/>
    </w:rPr>
  </w:style>
  <w:style w:type="character" w:customStyle="1" w:styleId="CommentSubjectChar">
    <w:name w:val="Comment Subject Char"/>
    <w:basedOn w:val="CommentTextChar"/>
    <w:link w:val="CommentSubject"/>
    <w:uiPriority w:val="99"/>
    <w:semiHidden/>
    <w:rsid w:val="004F11F7"/>
    <w:rPr>
      <w:b/>
      <w:bCs/>
    </w:rPr>
  </w:style>
  <w:style w:type="paragraph" w:styleId="BalloonText">
    <w:name w:val="Balloon Text"/>
    <w:basedOn w:val="Normal"/>
    <w:link w:val="BalloonTextChar"/>
    <w:uiPriority w:val="99"/>
    <w:semiHidden/>
    <w:unhideWhenUsed/>
    <w:rsid w:val="004F11F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F11F7"/>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38552380">
      <w:bodyDiv w:val="1"/>
      <w:marLeft w:val="0"/>
      <w:marRight w:val="0"/>
      <w:marTop w:val="0"/>
      <w:marBottom w:val="0"/>
      <w:divBdr>
        <w:top w:val="none" w:sz="0" w:space="0" w:color="auto"/>
        <w:left w:val="none" w:sz="0" w:space="0" w:color="auto"/>
        <w:bottom w:val="none" w:sz="0" w:space="0" w:color="auto"/>
        <w:right w:val="none" w:sz="0" w:space="0" w:color="auto"/>
      </w:divBdr>
    </w:div>
    <w:div w:id="187648828">
      <w:bodyDiv w:val="1"/>
      <w:marLeft w:val="0"/>
      <w:marRight w:val="0"/>
      <w:marTop w:val="0"/>
      <w:marBottom w:val="0"/>
      <w:divBdr>
        <w:top w:val="none" w:sz="0" w:space="0" w:color="auto"/>
        <w:left w:val="none" w:sz="0" w:space="0" w:color="auto"/>
        <w:bottom w:val="none" w:sz="0" w:space="0" w:color="auto"/>
        <w:right w:val="none" w:sz="0" w:space="0" w:color="auto"/>
      </w:divBdr>
    </w:div>
    <w:div w:id="245573752">
      <w:bodyDiv w:val="1"/>
      <w:marLeft w:val="0"/>
      <w:marRight w:val="0"/>
      <w:marTop w:val="0"/>
      <w:marBottom w:val="0"/>
      <w:divBdr>
        <w:top w:val="none" w:sz="0" w:space="0" w:color="auto"/>
        <w:left w:val="none" w:sz="0" w:space="0" w:color="auto"/>
        <w:bottom w:val="none" w:sz="0" w:space="0" w:color="auto"/>
        <w:right w:val="none" w:sz="0" w:space="0" w:color="auto"/>
      </w:divBdr>
    </w:div>
    <w:div w:id="278076335">
      <w:bodyDiv w:val="1"/>
      <w:marLeft w:val="0"/>
      <w:marRight w:val="0"/>
      <w:marTop w:val="0"/>
      <w:marBottom w:val="0"/>
      <w:divBdr>
        <w:top w:val="none" w:sz="0" w:space="0" w:color="auto"/>
        <w:left w:val="none" w:sz="0" w:space="0" w:color="auto"/>
        <w:bottom w:val="none" w:sz="0" w:space="0" w:color="auto"/>
        <w:right w:val="none" w:sz="0" w:space="0" w:color="auto"/>
      </w:divBdr>
    </w:div>
    <w:div w:id="294873455">
      <w:bodyDiv w:val="1"/>
      <w:marLeft w:val="0"/>
      <w:marRight w:val="0"/>
      <w:marTop w:val="0"/>
      <w:marBottom w:val="0"/>
      <w:divBdr>
        <w:top w:val="none" w:sz="0" w:space="0" w:color="auto"/>
        <w:left w:val="none" w:sz="0" w:space="0" w:color="auto"/>
        <w:bottom w:val="none" w:sz="0" w:space="0" w:color="auto"/>
        <w:right w:val="none" w:sz="0" w:space="0" w:color="auto"/>
      </w:divBdr>
    </w:div>
    <w:div w:id="494489862">
      <w:bodyDiv w:val="1"/>
      <w:marLeft w:val="0"/>
      <w:marRight w:val="0"/>
      <w:marTop w:val="0"/>
      <w:marBottom w:val="0"/>
      <w:divBdr>
        <w:top w:val="none" w:sz="0" w:space="0" w:color="auto"/>
        <w:left w:val="none" w:sz="0" w:space="0" w:color="auto"/>
        <w:bottom w:val="none" w:sz="0" w:space="0" w:color="auto"/>
        <w:right w:val="none" w:sz="0" w:space="0" w:color="auto"/>
      </w:divBdr>
    </w:div>
    <w:div w:id="1408963225">
      <w:bodyDiv w:val="1"/>
      <w:marLeft w:val="0"/>
      <w:marRight w:val="0"/>
      <w:marTop w:val="0"/>
      <w:marBottom w:val="0"/>
      <w:divBdr>
        <w:top w:val="none" w:sz="0" w:space="0" w:color="auto"/>
        <w:left w:val="none" w:sz="0" w:space="0" w:color="auto"/>
        <w:bottom w:val="none" w:sz="0" w:space="0" w:color="auto"/>
        <w:right w:val="none" w:sz="0" w:space="0" w:color="auto"/>
      </w:divBdr>
    </w:div>
    <w:div w:id="2026400911">
      <w:bodyDiv w:val="1"/>
      <w:marLeft w:val="0"/>
      <w:marRight w:val="0"/>
      <w:marTop w:val="0"/>
      <w:marBottom w:val="0"/>
      <w:divBdr>
        <w:top w:val="none" w:sz="0" w:space="0" w:color="auto"/>
        <w:left w:val="none" w:sz="0" w:space="0" w:color="auto"/>
        <w:bottom w:val="none" w:sz="0" w:space="0" w:color="auto"/>
        <w:right w:val="none" w:sz="0" w:space="0" w:color="auto"/>
      </w:divBdr>
    </w:div>
    <w:div w:id="2030402882">
      <w:bodyDiv w:val="1"/>
      <w:marLeft w:val="0"/>
      <w:marRight w:val="0"/>
      <w:marTop w:val="0"/>
      <w:marBottom w:val="0"/>
      <w:divBdr>
        <w:top w:val="none" w:sz="0" w:space="0" w:color="auto"/>
        <w:left w:val="none" w:sz="0" w:space="0" w:color="auto"/>
        <w:bottom w:val="none" w:sz="0" w:space="0" w:color="auto"/>
        <w:right w:val="none" w:sz="0" w:space="0" w:color="auto"/>
      </w:divBdr>
    </w:div>
    <w:div w:id="2049797217">
      <w:bodyDiv w:val="1"/>
      <w:marLeft w:val="0"/>
      <w:marRight w:val="0"/>
      <w:marTop w:val="0"/>
      <w:marBottom w:val="0"/>
      <w:divBdr>
        <w:top w:val="none" w:sz="0" w:space="0" w:color="auto"/>
        <w:left w:val="none" w:sz="0" w:space="0" w:color="auto"/>
        <w:bottom w:val="none" w:sz="0" w:space="0" w:color="auto"/>
        <w:right w:val="none" w:sz="0" w:space="0" w:color="auto"/>
      </w:divBdr>
    </w:div>
    <w:div w:id="20583149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comments" Target="comment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499</TotalTime>
  <Pages>5</Pages>
  <Words>627</Words>
  <Characters>3577</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sdlau_000</dc:creator>
  <cp:lastModifiedBy>sdlau_000</cp:lastModifiedBy>
  <cp:revision>12</cp:revision>
  <dcterms:created xsi:type="dcterms:W3CDTF">2017-02-18T17:28:00Z</dcterms:created>
  <dcterms:modified xsi:type="dcterms:W3CDTF">2017-03-01T06:11:00Z</dcterms:modified>
</cp:coreProperties>
</file>